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D64A6" w14:textId="77777777" w:rsidR="00284C77" w:rsidRDefault="00284C77" w:rsidP="00284C77">
      <w:pPr>
        <w:rPr>
          <w:rFonts w:ascii="Times New Roman" w:eastAsia="Times New Roman" w:hAnsi="Times New Roman" w:cs="Times New Roman"/>
        </w:rPr>
      </w:pPr>
      <w:r>
        <w:rPr>
          <w:rFonts w:ascii="Times New Roman" w:eastAsia="Times New Roman" w:hAnsi="Times New Roman" w:cs="Times New Roman"/>
        </w:rPr>
        <w:t xml:space="preserve">These have been provided by the professor for more information in answering the discussion question and Journal. </w:t>
      </w:r>
    </w:p>
    <w:p w14:paraId="41BA4DC1" w14:textId="77777777" w:rsidR="00284C77" w:rsidRDefault="00284C77" w:rsidP="00284C77">
      <w:pPr>
        <w:rPr>
          <w:rFonts w:ascii="Times New Roman" w:eastAsia="Times New Roman" w:hAnsi="Times New Roman" w:cs="Times New Roman"/>
        </w:rPr>
      </w:pPr>
    </w:p>
    <w:p w14:paraId="00CDE9E1" w14:textId="25BFBB05" w:rsidR="00284C77" w:rsidRPr="00284C77" w:rsidRDefault="00284C77" w:rsidP="00284C77">
      <w:pPr>
        <w:rPr>
          <w:rFonts w:ascii="Times New Roman" w:eastAsia="Times New Roman" w:hAnsi="Times New Roman" w:cs="Times New Roman"/>
        </w:rPr>
      </w:pPr>
      <w:hyperlink r:id="rId4" w:history="1">
        <w:r w:rsidRPr="00284C77">
          <w:rPr>
            <w:rStyle w:val="Hyperlink"/>
            <w:rFonts w:ascii="Times New Roman" w:eastAsia="Times New Roman" w:hAnsi="Times New Roman" w:cs="Times New Roman"/>
          </w:rPr>
          <w:t>https://www.theguardian.com/stage/2014/jan/24/kenneth-tynan-paul-scofield-peter-brook-king-lear</w:t>
        </w:r>
      </w:hyperlink>
    </w:p>
    <w:p w14:paraId="0E7E3982" w14:textId="77777777" w:rsidR="00284C77" w:rsidRPr="00284C77" w:rsidRDefault="00284C77" w:rsidP="00284C77">
      <w:pPr>
        <w:rPr>
          <w:rFonts w:ascii="Times New Roman" w:eastAsia="Times New Roman" w:hAnsi="Times New Roman" w:cs="Times New Roman"/>
        </w:rPr>
      </w:pPr>
      <w:r w:rsidRPr="00284C77">
        <w:rPr>
          <w:rFonts w:ascii="Arial" w:eastAsia="Times New Roman" w:hAnsi="Arial" w:cs="Arial"/>
          <w:color w:val="111111"/>
          <w:sz w:val="20"/>
          <w:szCs w:val="20"/>
          <w:shd w:val="clear" w:color="auto" w:fill="F8F8F8"/>
        </w:rPr>
        <w:t>Background to the 1962 King Lear production by Peter Brook.</w:t>
      </w:r>
    </w:p>
    <w:p w14:paraId="3C7F2121" w14:textId="77777777" w:rsidR="00284C77" w:rsidRDefault="00284C77" w:rsidP="00284C77">
      <w:pPr>
        <w:rPr>
          <w:rFonts w:ascii="Times New Roman" w:eastAsia="Times New Roman" w:hAnsi="Times New Roman" w:cs="Times New Roman"/>
        </w:rPr>
      </w:pPr>
    </w:p>
    <w:p w14:paraId="1C7DC46D" w14:textId="1B70ED4C" w:rsidR="00284C77" w:rsidRDefault="00284C77" w:rsidP="00284C77">
      <w:pPr>
        <w:rPr>
          <w:rFonts w:ascii="Times New Roman" w:eastAsia="Times New Roman" w:hAnsi="Times New Roman" w:cs="Times New Roman"/>
          <w:color w:val="0000FF"/>
          <w:u w:val="single"/>
        </w:rPr>
      </w:pPr>
      <w:hyperlink r:id="rId5" w:history="1">
        <w:r w:rsidRPr="00284C77">
          <w:rPr>
            <w:rStyle w:val="Hyperlink"/>
            <w:rFonts w:ascii="Times New Roman" w:eastAsia="Times New Roman" w:hAnsi="Times New Roman" w:cs="Times New Roman"/>
          </w:rPr>
          <w:t>https://www.philosophytalk.org/blog/camus-and-absurdity</w:t>
        </w:r>
      </w:hyperlink>
    </w:p>
    <w:p w14:paraId="564C3182" w14:textId="543406CA" w:rsidR="00284C77" w:rsidRPr="00284C77" w:rsidRDefault="00284C77" w:rsidP="00284C77">
      <w:pPr>
        <w:rPr>
          <w:rFonts w:ascii="Times New Roman" w:eastAsia="Times New Roman" w:hAnsi="Times New Roman" w:cs="Times New Roman"/>
        </w:rPr>
      </w:pPr>
      <w:r w:rsidRPr="00284C77">
        <w:rPr>
          <w:rFonts w:ascii="Arial" w:eastAsia="Times New Roman" w:hAnsi="Arial" w:cs="Arial"/>
          <w:color w:val="111111"/>
          <w:sz w:val="20"/>
          <w:szCs w:val="20"/>
          <w:shd w:val="clear" w:color="auto" w:fill="F8F8F8"/>
        </w:rPr>
        <w:t>Additional background to Camus and Absurdity.</w:t>
      </w:r>
    </w:p>
    <w:p w14:paraId="1DD85959" w14:textId="77777777" w:rsidR="00284C77" w:rsidRDefault="00284C77" w:rsidP="00284C77">
      <w:pPr>
        <w:rPr>
          <w:rFonts w:ascii="Times New Roman" w:eastAsia="Times New Roman" w:hAnsi="Times New Roman" w:cs="Times New Roman"/>
        </w:rPr>
      </w:pPr>
    </w:p>
    <w:p w14:paraId="71C067F7" w14:textId="6AF551DD" w:rsidR="00284C77" w:rsidRDefault="00284C77" w:rsidP="00284C77">
      <w:pPr>
        <w:rPr>
          <w:rFonts w:ascii="Times New Roman" w:eastAsia="Times New Roman" w:hAnsi="Times New Roman" w:cs="Times New Roman"/>
          <w:color w:val="0000FF"/>
          <w:u w:val="single"/>
        </w:rPr>
      </w:pPr>
      <w:hyperlink r:id="rId6" w:history="1">
        <w:r w:rsidRPr="00284C77">
          <w:rPr>
            <w:rStyle w:val="Hyperlink"/>
            <w:rFonts w:ascii="Times New Roman" w:eastAsia="Times New Roman" w:hAnsi="Times New Roman" w:cs="Times New Roman"/>
          </w:rPr>
          <w:t>https://www.bbc.co.uk/programmes/articles/2Jp2cdPPnB9ht6ySY0wbd9N/king-lear-with-a-happy-ending-in-kettering</w:t>
        </w:r>
      </w:hyperlink>
    </w:p>
    <w:p w14:paraId="60528D5C" w14:textId="51F48499" w:rsidR="00284C77" w:rsidRPr="00284C77" w:rsidRDefault="00284C77" w:rsidP="00284C77">
      <w:pPr>
        <w:rPr>
          <w:rFonts w:ascii="Times New Roman" w:eastAsia="Times New Roman" w:hAnsi="Times New Roman" w:cs="Times New Roman"/>
        </w:rPr>
      </w:pPr>
      <w:r w:rsidRPr="00284C77">
        <w:rPr>
          <w:rFonts w:ascii="Arial" w:eastAsia="Times New Roman" w:hAnsi="Arial" w:cs="Arial"/>
          <w:color w:val="111111"/>
          <w:sz w:val="20"/>
          <w:szCs w:val="20"/>
          <w:shd w:val="clear" w:color="auto" w:fill="F8F8F8"/>
        </w:rPr>
        <w:t xml:space="preserve">This brief article allows us to examine some of the </w:t>
      </w:r>
      <w:proofErr w:type="gramStart"/>
      <w:r w:rsidRPr="00284C77">
        <w:rPr>
          <w:rFonts w:ascii="Arial" w:eastAsia="Times New Roman" w:hAnsi="Arial" w:cs="Arial"/>
          <w:color w:val="111111"/>
          <w:sz w:val="20"/>
          <w:szCs w:val="20"/>
          <w:shd w:val="clear" w:color="auto" w:fill="F8F8F8"/>
        </w:rPr>
        <w:t>reasons</w:t>
      </w:r>
      <w:proofErr w:type="gramEnd"/>
      <w:r w:rsidRPr="00284C77">
        <w:rPr>
          <w:rFonts w:ascii="Arial" w:eastAsia="Times New Roman" w:hAnsi="Arial" w:cs="Arial"/>
          <w:color w:val="111111"/>
          <w:sz w:val="20"/>
          <w:szCs w:val="20"/>
          <w:shd w:val="clear" w:color="auto" w:fill="F8F8F8"/>
        </w:rPr>
        <w:t xml:space="preserve"> audiences preferred Tate's version for over 150 years.</w:t>
      </w:r>
    </w:p>
    <w:p w14:paraId="3A937D35" w14:textId="4BABF299" w:rsidR="009623D1" w:rsidRDefault="00284C77"/>
    <w:p w14:paraId="1976900C" w14:textId="77777777" w:rsidR="00284C77" w:rsidRPr="00284C77" w:rsidRDefault="00284C77" w:rsidP="00284C77">
      <w:pPr>
        <w:rPr>
          <w:rFonts w:ascii="Times New Roman" w:eastAsia="Times New Roman" w:hAnsi="Times New Roman" w:cs="Times New Roman"/>
        </w:rPr>
      </w:pPr>
      <w:hyperlink r:id="rId7" w:history="1">
        <w:r w:rsidRPr="00284C77">
          <w:rPr>
            <w:rFonts w:ascii="Times New Roman" w:eastAsia="Times New Roman" w:hAnsi="Times New Roman" w:cs="Times New Roman"/>
            <w:color w:val="0000FF"/>
            <w:u w:val="single"/>
          </w:rPr>
          <w:t>https://www.pbs.org/video/shakespeare-uncovered-king-lear-christopher-plummer/</w:t>
        </w:r>
      </w:hyperlink>
    </w:p>
    <w:p w14:paraId="2AD4A099" w14:textId="77777777" w:rsidR="00284C77" w:rsidRPr="00284C77" w:rsidRDefault="00284C77" w:rsidP="00284C77">
      <w:pPr>
        <w:rPr>
          <w:rFonts w:ascii="Times New Roman" w:eastAsia="Times New Roman" w:hAnsi="Times New Roman" w:cs="Times New Roman"/>
        </w:rPr>
      </w:pPr>
      <w:r w:rsidRPr="00284C77">
        <w:rPr>
          <w:rFonts w:ascii="Arial" w:eastAsia="Times New Roman" w:hAnsi="Arial" w:cs="Arial"/>
          <w:color w:val="111111"/>
          <w:sz w:val="20"/>
          <w:szCs w:val="20"/>
          <w:shd w:val="clear" w:color="auto" w:fill="F8F8F8"/>
        </w:rPr>
        <w:t>Finally, this PBS video</w:t>
      </w:r>
      <w:r w:rsidRPr="00284C77">
        <w:rPr>
          <w:rFonts w:ascii="Arial" w:eastAsia="Times New Roman" w:hAnsi="Arial" w:cs="Arial"/>
          <w:b/>
          <w:bCs/>
          <w:color w:val="000000"/>
          <w:sz w:val="20"/>
          <w:szCs w:val="20"/>
          <w:bdr w:val="none" w:sz="0" w:space="0" w:color="auto" w:frame="1"/>
          <w:shd w:val="clear" w:color="auto" w:fill="FFFFFF"/>
        </w:rPr>
        <w:t> </w:t>
      </w:r>
      <w:r w:rsidRPr="00284C77">
        <w:rPr>
          <w:rFonts w:ascii="Arial" w:eastAsia="Times New Roman" w:hAnsi="Arial" w:cs="Arial"/>
          <w:color w:val="111111"/>
          <w:sz w:val="20"/>
          <w:szCs w:val="20"/>
          <w:shd w:val="clear" w:color="auto" w:fill="F8F8F8"/>
        </w:rPr>
        <w:t>provides us with a history of the play in the United States. Watch from 42:34-44:41.</w:t>
      </w:r>
    </w:p>
    <w:p w14:paraId="1E86B2FF" w14:textId="2C8FD2CD" w:rsidR="00284C77" w:rsidRDefault="00284C77"/>
    <w:p w14:paraId="1D100F5D" w14:textId="77777777" w:rsidR="00284C77" w:rsidRDefault="00284C77" w:rsidP="00284C77">
      <w:pPr>
        <w:rPr>
          <w:rFonts w:ascii="Arial" w:eastAsia="Times New Roman" w:hAnsi="Arial" w:cs="Arial"/>
          <w:b/>
          <w:bCs/>
          <w:color w:val="111111"/>
          <w:sz w:val="20"/>
          <w:szCs w:val="20"/>
          <w:bdr w:val="none" w:sz="0" w:space="0" w:color="auto" w:frame="1"/>
          <w:shd w:val="clear" w:color="auto" w:fill="F8F8F8"/>
        </w:rPr>
      </w:pPr>
      <w:r>
        <w:rPr>
          <w:rFonts w:ascii="Arial" w:eastAsia="Times New Roman" w:hAnsi="Arial" w:cs="Arial"/>
          <w:b/>
          <w:bCs/>
          <w:color w:val="111111"/>
          <w:sz w:val="20"/>
          <w:szCs w:val="20"/>
          <w:bdr w:val="none" w:sz="0" w:space="0" w:color="auto" w:frame="1"/>
          <w:shd w:val="clear" w:color="auto" w:fill="F8F8F8"/>
        </w:rPr>
        <w:t xml:space="preserve">These 2 are not working for me maybe they will for you, I don’t know. </w:t>
      </w:r>
    </w:p>
    <w:p w14:paraId="49A14C1A" w14:textId="77777777" w:rsidR="00284C77" w:rsidRDefault="00284C77" w:rsidP="00284C77">
      <w:pPr>
        <w:rPr>
          <w:rFonts w:ascii="Arial" w:eastAsia="Times New Roman" w:hAnsi="Arial" w:cs="Arial"/>
          <w:b/>
          <w:bCs/>
          <w:color w:val="111111"/>
          <w:sz w:val="20"/>
          <w:szCs w:val="20"/>
          <w:bdr w:val="none" w:sz="0" w:space="0" w:color="auto" w:frame="1"/>
          <w:shd w:val="clear" w:color="auto" w:fill="F8F8F8"/>
        </w:rPr>
      </w:pPr>
    </w:p>
    <w:p w14:paraId="59ABA146" w14:textId="0C2A30DD" w:rsidR="00284C77" w:rsidRPr="00284C77" w:rsidRDefault="00284C77" w:rsidP="00284C77">
      <w:pPr>
        <w:rPr>
          <w:rFonts w:ascii="Times New Roman" w:eastAsia="Times New Roman" w:hAnsi="Times New Roman" w:cs="Times New Roman"/>
        </w:rPr>
      </w:pPr>
      <w:r w:rsidRPr="00284C77">
        <w:rPr>
          <w:rFonts w:ascii="Arial" w:eastAsia="Times New Roman" w:hAnsi="Arial" w:cs="Arial"/>
          <w:b/>
          <w:bCs/>
          <w:color w:val="111111"/>
          <w:sz w:val="20"/>
          <w:szCs w:val="20"/>
          <w:bdr w:val="none" w:sz="0" w:space="0" w:color="auto" w:frame="1"/>
          <w:shd w:val="clear" w:color="auto" w:fill="F8F8F8"/>
        </w:rPr>
        <w:t>Fabiana Cabral's </w:t>
      </w:r>
      <w:hyperlink r:id="rId8" w:tgtFrame="_blank" w:history="1">
        <w:r w:rsidRPr="00284C77">
          <w:rPr>
            <w:rFonts w:ascii="inherit" w:eastAsia="Times New Roman" w:hAnsi="inherit" w:cs="Arial"/>
            <w:b/>
            <w:bCs/>
            <w:color w:val="1874A4"/>
            <w:sz w:val="20"/>
            <w:szCs w:val="20"/>
            <w:u w:val="single"/>
            <w:bdr w:val="none" w:sz="0" w:space="0" w:color="auto" w:frame="1"/>
            <w:shd w:val="clear" w:color="auto" w:fill="F8F8F8"/>
          </w:rPr>
          <w:t>"The Two Endings of </w:t>
        </w:r>
      </w:hyperlink>
      <w:hyperlink r:id="rId9" w:tgtFrame="_blank" w:history="1">
        <w:r w:rsidRPr="00284C77">
          <w:rPr>
            <w:rFonts w:ascii="inherit" w:eastAsia="Times New Roman" w:hAnsi="inherit" w:cs="Arial"/>
            <w:b/>
            <w:bCs/>
            <w:color w:val="1874A4"/>
            <w:sz w:val="20"/>
            <w:szCs w:val="20"/>
            <w:u w:val="single"/>
            <w:bdr w:val="none" w:sz="0" w:space="0" w:color="auto" w:frame="1"/>
            <w:shd w:val="clear" w:color="auto" w:fill="F8F8F8"/>
          </w:rPr>
          <w:t>King Lear"</w:t>
        </w:r>
      </w:hyperlink>
      <w:r w:rsidRPr="00284C77">
        <w:rPr>
          <w:rFonts w:ascii="Arial" w:eastAsia="Times New Roman" w:hAnsi="Arial" w:cs="Arial"/>
          <w:color w:val="111111"/>
          <w:sz w:val="20"/>
          <w:szCs w:val="20"/>
        </w:rPr>
        <w:br/>
      </w:r>
      <w:r w:rsidRPr="00284C77">
        <w:rPr>
          <w:rFonts w:ascii="Arial" w:eastAsia="Times New Roman" w:hAnsi="Arial" w:cs="Arial"/>
          <w:color w:val="111111"/>
          <w:sz w:val="20"/>
          <w:szCs w:val="20"/>
          <w:shd w:val="clear" w:color="auto" w:fill="F8F8F8"/>
        </w:rPr>
        <w:t>This article examines the impact of the two different versions presented in the First Folio and First Quarto. As you read the analysis, note the impact of which character is given the final lines has on the ways in which we can interpret the plays. </w:t>
      </w:r>
    </w:p>
    <w:p w14:paraId="2496C78F" w14:textId="2856D445" w:rsidR="00284C77" w:rsidRDefault="00284C77"/>
    <w:p w14:paraId="2410E211" w14:textId="77777777" w:rsidR="00284C77" w:rsidRPr="00284C77" w:rsidRDefault="00284C77" w:rsidP="00284C77">
      <w:pPr>
        <w:rPr>
          <w:rFonts w:ascii="Times New Roman" w:eastAsia="Times New Roman" w:hAnsi="Times New Roman" w:cs="Times New Roman"/>
        </w:rPr>
      </w:pPr>
      <w:hyperlink r:id="rId10" w:tgtFrame="_blank" w:history="1">
        <w:r w:rsidRPr="00284C77">
          <w:rPr>
            <w:rFonts w:ascii="inherit" w:eastAsia="Times New Roman" w:hAnsi="inherit" w:cs="Arial"/>
            <w:b/>
            <w:bCs/>
            <w:color w:val="1874A4"/>
            <w:sz w:val="20"/>
            <w:szCs w:val="20"/>
            <w:u w:val="single"/>
            <w:bdr w:val="none" w:sz="0" w:space="0" w:color="auto" w:frame="1"/>
            <w:shd w:val="clear" w:color="auto" w:fill="F8F8F8"/>
          </w:rPr>
          <w:t>"Jan Kott, Peter Brook, and King Lear"</w:t>
        </w:r>
      </w:hyperlink>
      <w:r w:rsidRPr="00284C77">
        <w:rPr>
          <w:rFonts w:ascii="Arial" w:eastAsia="Times New Roman" w:hAnsi="Arial" w:cs="Arial"/>
          <w:b/>
          <w:bCs/>
          <w:color w:val="111111"/>
          <w:sz w:val="20"/>
          <w:szCs w:val="20"/>
          <w:bdr w:val="none" w:sz="0" w:space="0" w:color="auto" w:frame="1"/>
          <w:shd w:val="clear" w:color="auto" w:fill="F8F8F8"/>
        </w:rPr>
        <w:t xml:space="preserve"> by </w:t>
      </w:r>
      <w:proofErr w:type="spellStart"/>
      <w:r w:rsidRPr="00284C77">
        <w:rPr>
          <w:rFonts w:ascii="Arial" w:eastAsia="Times New Roman" w:hAnsi="Arial" w:cs="Arial"/>
          <w:b/>
          <w:bCs/>
          <w:color w:val="111111"/>
          <w:sz w:val="20"/>
          <w:szCs w:val="20"/>
          <w:bdr w:val="none" w:sz="0" w:space="0" w:color="auto" w:frame="1"/>
          <w:shd w:val="clear" w:color="auto" w:fill="F8F8F8"/>
        </w:rPr>
        <w:t>Leanore</w:t>
      </w:r>
      <w:proofErr w:type="spellEnd"/>
      <w:r w:rsidRPr="00284C77">
        <w:rPr>
          <w:rFonts w:ascii="Arial" w:eastAsia="Times New Roman" w:hAnsi="Arial" w:cs="Arial"/>
          <w:b/>
          <w:bCs/>
          <w:color w:val="111111"/>
          <w:sz w:val="20"/>
          <w:szCs w:val="20"/>
          <w:bdr w:val="none" w:sz="0" w:space="0" w:color="auto" w:frame="1"/>
          <w:shd w:val="clear" w:color="auto" w:fill="F8F8F8"/>
        </w:rPr>
        <w:t xml:space="preserve"> </w:t>
      </w:r>
      <w:proofErr w:type="spellStart"/>
      <w:r w:rsidRPr="00284C77">
        <w:rPr>
          <w:rFonts w:ascii="Arial" w:eastAsia="Times New Roman" w:hAnsi="Arial" w:cs="Arial"/>
          <w:b/>
          <w:bCs/>
          <w:color w:val="111111"/>
          <w:sz w:val="20"/>
          <w:szCs w:val="20"/>
          <w:bdr w:val="none" w:sz="0" w:space="0" w:color="auto" w:frame="1"/>
          <w:shd w:val="clear" w:color="auto" w:fill="F8F8F8"/>
        </w:rPr>
        <w:t>Lieblein</w:t>
      </w:r>
      <w:proofErr w:type="spellEnd"/>
      <w:r w:rsidRPr="00284C77">
        <w:rPr>
          <w:rFonts w:ascii="Arial" w:eastAsia="Times New Roman" w:hAnsi="Arial" w:cs="Arial"/>
          <w:b/>
          <w:bCs/>
          <w:color w:val="111111"/>
          <w:sz w:val="20"/>
          <w:szCs w:val="20"/>
          <w:bdr w:val="none" w:sz="0" w:space="0" w:color="auto" w:frame="1"/>
          <w:shd w:val="clear" w:color="auto" w:fill="F8F8F8"/>
        </w:rPr>
        <w:br/>
      </w:r>
      <w:r w:rsidRPr="00284C77">
        <w:rPr>
          <w:rFonts w:ascii="Arial" w:eastAsia="Times New Roman" w:hAnsi="Arial" w:cs="Arial"/>
          <w:color w:val="111111"/>
          <w:sz w:val="20"/>
          <w:szCs w:val="20"/>
          <w:shd w:val="clear" w:color="auto" w:fill="F8F8F8"/>
        </w:rPr>
        <w:t>This article covers much ground. As you read, focus on the idea of moral neutrality and the animalistic nature of human beings.</w:t>
      </w:r>
    </w:p>
    <w:p w14:paraId="261A2CBD" w14:textId="47767BFE" w:rsidR="00284C77" w:rsidRDefault="00284C77"/>
    <w:p w14:paraId="277F9C90" w14:textId="77777777" w:rsidR="00284C77" w:rsidRDefault="00284C77">
      <w:bookmarkStart w:id="0" w:name="_GoBack"/>
      <w:bookmarkEnd w:id="0"/>
    </w:p>
    <w:sectPr w:rsidR="00284C77" w:rsidSect="00D6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77"/>
    <w:rsid w:val="00284C77"/>
    <w:rsid w:val="00686A64"/>
    <w:rsid w:val="00D625A6"/>
    <w:rsid w:val="00E4257F"/>
    <w:rsid w:val="00F2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2B1D4"/>
  <w15:chartTrackingRefBased/>
  <w15:docId w15:val="{66DAAF85-A770-DF4F-8D23-2CC35495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C77"/>
    <w:rPr>
      <w:color w:val="0000FF"/>
      <w:u w:val="single"/>
    </w:rPr>
  </w:style>
  <w:style w:type="character" w:styleId="UnresolvedMention">
    <w:name w:val="Unresolved Mention"/>
    <w:basedOn w:val="DefaultParagraphFont"/>
    <w:uiPriority w:val="99"/>
    <w:rsid w:val="00284C77"/>
    <w:rPr>
      <w:color w:val="605E5C"/>
      <w:shd w:val="clear" w:color="auto" w:fill="E1DFDD"/>
    </w:rPr>
  </w:style>
  <w:style w:type="character" w:styleId="Strong">
    <w:name w:val="Strong"/>
    <w:basedOn w:val="DefaultParagraphFont"/>
    <w:uiPriority w:val="22"/>
    <w:qFormat/>
    <w:rsid w:val="00284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0686">
      <w:bodyDiv w:val="1"/>
      <w:marLeft w:val="0"/>
      <w:marRight w:val="0"/>
      <w:marTop w:val="0"/>
      <w:marBottom w:val="0"/>
      <w:divBdr>
        <w:top w:val="none" w:sz="0" w:space="0" w:color="auto"/>
        <w:left w:val="none" w:sz="0" w:space="0" w:color="auto"/>
        <w:bottom w:val="none" w:sz="0" w:space="0" w:color="auto"/>
        <w:right w:val="none" w:sz="0" w:space="0" w:color="auto"/>
      </w:divBdr>
    </w:div>
    <w:div w:id="566183303">
      <w:bodyDiv w:val="1"/>
      <w:marLeft w:val="0"/>
      <w:marRight w:val="0"/>
      <w:marTop w:val="0"/>
      <w:marBottom w:val="0"/>
      <w:divBdr>
        <w:top w:val="none" w:sz="0" w:space="0" w:color="auto"/>
        <w:left w:val="none" w:sz="0" w:space="0" w:color="auto"/>
        <w:bottom w:val="none" w:sz="0" w:space="0" w:color="auto"/>
        <w:right w:val="none" w:sz="0" w:space="0" w:color="auto"/>
      </w:divBdr>
    </w:div>
    <w:div w:id="643002557">
      <w:bodyDiv w:val="1"/>
      <w:marLeft w:val="0"/>
      <w:marRight w:val="0"/>
      <w:marTop w:val="0"/>
      <w:marBottom w:val="0"/>
      <w:divBdr>
        <w:top w:val="none" w:sz="0" w:space="0" w:color="auto"/>
        <w:left w:val="none" w:sz="0" w:space="0" w:color="auto"/>
        <w:bottom w:val="none" w:sz="0" w:space="0" w:color="auto"/>
        <w:right w:val="none" w:sz="0" w:space="0" w:color="auto"/>
      </w:divBdr>
    </w:div>
    <w:div w:id="765081625">
      <w:bodyDiv w:val="1"/>
      <w:marLeft w:val="0"/>
      <w:marRight w:val="0"/>
      <w:marTop w:val="0"/>
      <w:marBottom w:val="0"/>
      <w:divBdr>
        <w:top w:val="none" w:sz="0" w:space="0" w:color="auto"/>
        <w:left w:val="none" w:sz="0" w:space="0" w:color="auto"/>
        <w:bottom w:val="none" w:sz="0" w:space="0" w:color="auto"/>
        <w:right w:val="none" w:sz="0" w:space="0" w:color="auto"/>
      </w:divBdr>
    </w:div>
    <w:div w:id="825514133">
      <w:bodyDiv w:val="1"/>
      <w:marLeft w:val="0"/>
      <w:marRight w:val="0"/>
      <w:marTop w:val="0"/>
      <w:marBottom w:val="0"/>
      <w:divBdr>
        <w:top w:val="none" w:sz="0" w:space="0" w:color="auto"/>
        <w:left w:val="none" w:sz="0" w:space="0" w:color="auto"/>
        <w:bottom w:val="none" w:sz="0" w:space="0" w:color="auto"/>
        <w:right w:val="none" w:sz="0" w:space="0" w:color="auto"/>
      </w:divBdr>
    </w:div>
    <w:div w:id="869994330">
      <w:bodyDiv w:val="1"/>
      <w:marLeft w:val="0"/>
      <w:marRight w:val="0"/>
      <w:marTop w:val="0"/>
      <w:marBottom w:val="0"/>
      <w:divBdr>
        <w:top w:val="none" w:sz="0" w:space="0" w:color="auto"/>
        <w:left w:val="none" w:sz="0" w:space="0" w:color="auto"/>
        <w:bottom w:val="none" w:sz="0" w:space="0" w:color="auto"/>
        <w:right w:val="none" w:sz="0" w:space="0" w:color="auto"/>
      </w:divBdr>
    </w:div>
    <w:div w:id="1043288521">
      <w:bodyDiv w:val="1"/>
      <w:marLeft w:val="0"/>
      <w:marRight w:val="0"/>
      <w:marTop w:val="0"/>
      <w:marBottom w:val="0"/>
      <w:divBdr>
        <w:top w:val="none" w:sz="0" w:space="0" w:color="auto"/>
        <w:left w:val="none" w:sz="0" w:space="0" w:color="auto"/>
        <w:bottom w:val="none" w:sz="0" w:space="0" w:color="auto"/>
        <w:right w:val="none" w:sz="0" w:space="0" w:color="auto"/>
      </w:divBdr>
    </w:div>
    <w:div w:id="1442527958">
      <w:bodyDiv w:val="1"/>
      <w:marLeft w:val="0"/>
      <w:marRight w:val="0"/>
      <w:marTop w:val="0"/>
      <w:marBottom w:val="0"/>
      <w:divBdr>
        <w:top w:val="none" w:sz="0" w:space="0" w:color="auto"/>
        <w:left w:val="none" w:sz="0" w:space="0" w:color="auto"/>
        <w:bottom w:val="none" w:sz="0" w:space="0" w:color="auto"/>
        <w:right w:val="none" w:sz="0" w:space="0" w:color="auto"/>
      </w:divBdr>
    </w:div>
    <w:div w:id="1575310416">
      <w:bodyDiv w:val="1"/>
      <w:marLeft w:val="0"/>
      <w:marRight w:val="0"/>
      <w:marTop w:val="0"/>
      <w:marBottom w:val="0"/>
      <w:divBdr>
        <w:top w:val="none" w:sz="0" w:space="0" w:color="auto"/>
        <w:left w:val="none" w:sz="0" w:space="0" w:color="auto"/>
        <w:bottom w:val="none" w:sz="0" w:space="0" w:color="auto"/>
        <w:right w:val="none" w:sz="0" w:space="0" w:color="auto"/>
      </w:divBdr>
    </w:div>
    <w:div w:id="18277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du/av/core/journal/xxii/vol22-Cabral-The%20two%20endings%20of%20king%20lear.pdf" TargetMode="External"/><Relationship Id="rId3" Type="http://schemas.openxmlformats.org/officeDocument/2006/relationships/webSettings" Target="webSettings.xml"/><Relationship Id="rId7" Type="http://schemas.openxmlformats.org/officeDocument/2006/relationships/hyperlink" Target="https://www.pbs.org/video/shakespeare-uncovered-king-lear-christopher-plumm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programmes/articles/2Jp2cdPPnB9ht6ySY0wbd9N/king-lear-with-a-happy-ending-in-kettering" TargetMode="External"/><Relationship Id="rId11" Type="http://schemas.openxmlformats.org/officeDocument/2006/relationships/fontTable" Target="fontTable.xml"/><Relationship Id="rId5" Type="http://schemas.openxmlformats.org/officeDocument/2006/relationships/hyperlink" Target="https://www.philosophytalk.org/blog/camus-and-absurdity" TargetMode="External"/><Relationship Id="rId10" Type="http://schemas.openxmlformats.org/officeDocument/2006/relationships/hyperlink" Target="https://journals.ku.edu/index.php/jdtc/article/viewFile/1651/1615Posts" TargetMode="External"/><Relationship Id="rId4" Type="http://schemas.openxmlformats.org/officeDocument/2006/relationships/hyperlink" Target="https://www.theguardian.com/stage/2014/jan/24/kenneth-tynan-paul-scofield-peter-brook-king-lear" TargetMode="External"/><Relationship Id="rId9" Type="http://schemas.openxmlformats.org/officeDocument/2006/relationships/hyperlink" Target="http://www.bu.edu/av/core/journal/xxii/vol22-Cabral-The%20two%20endings%20of%20king%20le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Malinowski (Student)</dc:creator>
  <cp:keywords/>
  <dc:description/>
  <cp:lastModifiedBy>Lisa Malinowski (Student)</cp:lastModifiedBy>
  <cp:revision>1</cp:revision>
  <dcterms:created xsi:type="dcterms:W3CDTF">2019-04-16T15:58:00Z</dcterms:created>
  <dcterms:modified xsi:type="dcterms:W3CDTF">2019-04-16T16:08:00Z</dcterms:modified>
</cp:coreProperties>
</file>