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6E6" w:rsidRPr="00902256" w:rsidRDefault="009A46E6" w:rsidP="009A46E6">
      <w:pPr>
        <w:tabs>
          <w:tab w:val="left" w:pos="2670"/>
        </w:tabs>
        <w:spacing w:after="0" w:line="480" w:lineRule="auto"/>
        <w:jc w:val="center"/>
        <w:rPr>
          <w:rFonts w:cs="Times New Roman"/>
          <w:sz w:val="24"/>
          <w:szCs w:val="24"/>
        </w:rPr>
      </w:pPr>
    </w:p>
    <w:p w:rsidR="00BF56C6" w:rsidRPr="00902256" w:rsidRDefault="00BF56C6" w:rsidP="009A46E6">
      <w:pPr>
        <w:tabs>
          <w:tab w:val="left" w:pos="2670"/>
        </w:tabs>
        <w:spacing w:after="0" w:line="480" w:lineRule="auto"/>
        <w:jc w:val="center"/>
        <w:rPr>
          <w:rFonts w:cs="Times New Roman"/>
          <w:sz w:val="24"/>
          <w:szCs w:val="24"/>
        </w:rPr>
      </w:pPr>
    </w:p>
    <w:p w:rsidR="00BF56C6" w:rsidRPr="00902256" w:rsidRDefault="00BF56C6" w:rsidP="009A46E6">
      <w:pPr>
        <w:tabs>
          <w:tab w:val="left" w:pos="2670"/>
        </w:tabs>
        <w:spacing w:after="0" w:line="480" w:lineRule="auto"/>
        <w:jc w:val="center"/>
        <w:rPr>
          <w:rFonts w:cs="Times New Roman"/>
          <w:sz w:val="24"/>
          <w:szCs w:val="24"/>
        </w:rPr>
      </w:pPr>
    </w:p>
    <w:p w:rsidR="00BF56C6" w:rsidRPr="00902256" w:rsidRDefault="00BF56C6" w:rsidP="009A46E6">
      <w:pPr>
        <w:tabs>
          <w:tab w:val="left" w:pos="2670"/>
        </w:tabs>
        <w:spacing w:after="0" w:line="480" w:lineRule="auto"/>
        <w:jc w:val="center"/>
        <w:rPr>
          <w:rFonts w:cs="Times New Roman"/>
          <w:sz w:val="24"/>
          <w:szCs w:val="24"/>
        </w:rPr>
      </w:pPr>
    </w:p>
    <w:p w:rsidR="009A46E6" w:rsidRPr="00902256" w:rsidRDefault="009A46E6" w:rsidP="009A46E6">
      <w:pPr>
        <w:tabs>
          <w:tab w:val="left" w:pos="2670"/>
        </w:tabs>
        <w:spacing w:after="0" w:line="480" w:lineRule="auto"/>
        <w:jc w:val="center"/>
        <w:rPr>
          <w:rFonts w:cs="Times New Roman"/>
          <w:sz w:val="24"/>
          <w:szCs w:val="24"/>
        </w:rPr>
      </w:pPr>
      <w:r w:rsidRPr="00902256">
        <w:rPr>
          <w:rFonts w:cs="Times New Roman"/>
          <w:sz w:val="24"/>
          <w:szCs w:val="24"/>
        </w:rPr>
        <w:t>SAGINAW VALLEY STATE UNIVERSITY</w:t>
      </w:r>
    </w:p>
    <w:p w:rsidR="00105C01" w:rsidRPr="00902256" w:rsidRDefault="00105C01" w:rsidP="009A46E6">
      <w:pPr>
        <w:tabs>
          <w:tab w:val="left" w:pos="2670"/>
        </w:tabs>
        <w:spacing w:after="0" w:line="480" w:lineRule="auto"/>
        <w:jc w:val="center"/>
        <w:rPr>
          <w:rFonts w:cs="Times New Roman"/>
          <w:sz w:val="24"/>
          <w:szCs w:val="24"/>
        </w:rPr>
      </w:pPr>
    </w:p>
    <w:p w:rsidR="00105C01" w:rsidRPr="00902256" w:rsidRDefault="00105C01" w:rsidP="009A46E6">
      <w:pPr>
        <w:tabs>
          <w:tab w:val="left" w:pos="2670"/>
        </w:tabs>
        <w:spacing w:after="0" w:line="480" w:lineRule="auto"/>
        <w:jc w:val="center"/>
        <w:rPr>
          <w:rFonts w:cs="Times New Roman"/>
          <w:sz w:val="24"/>
          <w:szCs w:val="24"/>
        </w:rPr>
      </w:pPr>
    </w:p>
    <w:p w:rsidR="00105C01" w:rsidRPr="00902256" w:rsidRDefault="00105C01" w:rsidP="009A46E6">
      <w:pPr>
        <w:tabs>
          <w:tab w:val="left" w:pos="2670"/>
        </w:tabs>
        <w:spacing w:after="0" w:line="480" w:lineRule="auto"/>
        <w:jc w:val="center"/>
        <w:rPr>
          <w:rFonts w:cs="Times New Roman"/>
          <w:sz w:val="24"/>
          <w:szCs w:val="24"/>
        </w:rPr>
      </w:pPr>
    </w:p>
    <w:p w:rsidR="0064033F" w:rsidRPr="00902256" w:rsidRDefault="00A403C4" w:rsidP="00FD4466">
      <w:pPr>
        <w:tabs>
          <w:tab w:val="left" w:pos="2670"/>
        </w:tabs>
        <w:spacing w:after="0" w:line="480" w:lineRule="auto"/>
        <w:jc w:val="center"/>
        <w:rPr>
          <w:rFonts w:cs="Times New Roman"/>
          <w:sz w:val="24"/>
          <w:szCs w:val="24"/>
        </w:rPr>
      </w:pPr>
      <w:r w:rsidRPr="00902256">
        <w:rPr>
          <w:rFonts w:cs="Times New Roman"/>
          <w:sz w:val="24"/>
          <w:szCs w:val="24"/>
        </w:rPr>
        <w:t>THE CUZCO SCHOOL: 18</w:t>
      </w:r>
      <w:r w:rsidRPr="00902256">
        <w:rPr>
          <w:rFonts w:cs="Times New Roman"/>
          <w:sz w:val="24"/>
          <w:szCs w:val="24"/>
          <w:vertAlign w:val="superscript"/>
        </w:rPr>
        <w:t>th</w:t>
      </w:r>
      <w:r w:rsidRPr="00902256">
        <w:rPr>
          <w:rFonts w:cs="Times New Roman"/>
          <w:sz w:val="24"/>
          <w:szCs w:val="24"/>
        </w:rPr>
        <w:t xml:space="preserve"> CENTURY SECULAR AND RELIGIOUS ARTS</w:t>
      </w:r>
    </w:p>
    <w:p w:rsidR="00105C01" w:rsidRPr="00902256" w:rsidRDefault="00105C01" w:rsidP="00FD4466">
      <w:pPr>
        <w:tabs>
          <w:tab w:val="left" w:pos="2670"/>
        </w:tabs>
        <w:spacing w:after="0" w:line="480" w:lineRule="auto"/>
        <w:jc w:val="center"/>
        <w:rPr>
          <w:rFonts w:cs="Times New Roman"/>
          <w:sz w:val="24"/>
          <w:szCs w:val="24"/>
        </w:rPr>
      </w:pPr>
      <w:r w:rsidRPr="00902256">
        <w:rPr>
          <w:rFonts w:cs="Times New Roman"/>
          <w:sz w:val="24"/>
          <w:szCs w:val="24"/>
        </w:rPr>
        <w:t>THEMATIC EXHIBIT PROPOSAL</w:t>
      </w:r>
    </w:p>
    <w:p w:rsidR="009A46E6" w:rsidRPr="00902256" w:rsidRDefault="009A46E6" w:rsidP="009A46E6">
      <w:pPr>
        <w:tabs>
          <w:tab w:val="left" w:pos="2670"/>
        </w:tabs>
        <w:spacing w:after="0" w:line="480" w:lineRule="auto"/>
        <w:jc w:val="center"/>
        <w:rPr>
          <w:rFonts w:cs="Times New Roman"/>
          <w:sz w:val="24"/>
          <w:szCs w:val="24"/>
        </w:rPr>
      </w:pPr>
    </w:p>
    <w:p w:rsidR="009A46E6" w:rsidRPr="00902256" w:rsidRDefault="009A46E6" w:rsidP="009A46E6">
      <w:pPr>
        <w:tabs>
          <w:tab w:val="left" w:pos="2670"/>
        </w:tabs>
        <w:spacing w:after="0" w:line="480" w:lineRule="auto"/>
        <w:jc w:val="center"/>
        <w:rPr>
          <w:rFonts w:cs="Times New Roman"/>
          <w:sz w:val="24"/>
          <w:szCs w:val="24"/>
        </w:rPr>
      </w:pPr>
    </w:p>
    <w:p w:rsidR="00105C01" w:rsidRPr="00902256" w:rsidRDefault="00105C01" w:rsidP="009A46E6">
      <w:pPr>
        <w:tabs>
          <w:tab w:val="left" w:pos="2670"/>
        </w:tabs>
        <w:spacing w:after="0" w:line="480" w:lineRule="auto"/>
        <w:jc w:val="center"/>
        <w:rPr>
          <w:rFonts w:cs="Times New Roman"/>
          <w:sz w:val="24"/>
          <w:szCs w:val="24"/>
        </w:rPr>
      </w:pPr>
    </w:p>
    <w:p w:rsidR="009A46E6" w:rsidRPr="00902256" w:rsidRDefault="009A46E6" w:rsidP="009A46E6">
      <w:pPr>
        <w:tabs>
          <w:tab w:val="left" w:pos="2670"/>
        </w:tabs>
        <w:spacing w:after="0" w:line="480" w:lineRule="auto"/>
        <w:jc w:val="center"/>
        <w:rPr>
          <w:rFonts w:cs="Times New Roman"/>
          <w:sz w:val="24"/>
          <w:szCs w:val="24"/>
        </w:rPr>
      </w:pPr>
    </w:p>
    <w:p w:rsidR="009A46E6" w:rsidRPr="00902256" w:rsidRDefault="009A46E6" w:rsidP="00105C01">
      <w:pPr>
        <w:tabs>
          <w:tab w:val="left" w:pos="2670"/>
        </w:tabs>
        <w:spacing w:after="0" w:line="480" w:lineRule="auto"/>
        <w:rPr>
          <w:rFonts w:cs="Times New Roman"/>
          <w:sz w:val="24"/>
          <w:szCs w:val="24"/>
        </w:rPr>
      </w:pPr>
    </w:p>
    <w:p w:rsidR="009A46E6" w:rsidRPr="00902256" w:rsidRDefault="009A46E6" w:rsidP="009A46E6">
      <w:pPr>
        <w:tabs>
          <w:tab w:val="left" w:pos="2670"/>
        </w:tabs>
        <w:spacing w:after="0" w:line="480" w:lineRule="auto"/>
        <w:jc w:val="center"/>
        <w:rPr>
          <w:rFonts w:cs="Times New Roman"/>
          <w:sz w:val="24"/>
          <w:szCs w:val="24"/>
        </w:rPr>
      </w:pPr>
    </w:p>
    <w:p w:rsidR="009A46E6" w:rsidRPr="00902256" w:rsidRDefault="009A46E6" w:rsidP="009A46E6">
      <w:pPr>
        <w:tabs>
          <w:tab w:val="left" w:pos="2670"/>
        </w:tabs>
        <w:spacing w:after="0" w:line="480" w:lineRule="auto"/>
        <w:jc w:val="center"/>
        <w:rPr>
          <w:rFonts w:cs="Times New Roman"/>
          <w:sz w:val="24"/>
          <w:szCs w:val="24"/>
        </w:rPr>
      </w:pPr>
      <w:r w:rsidRPr="00902256">
        <w:rPr>
          <w:rFonts w:cs="Times New Roman"/>
          <w:sz w:val="24"/>
          <w:szCs w:val="24"/>
        </w:rPr>
        <w:t>BY:</w:t>
      </w:r>
    </w:p>
    <w:p w:rsidR="009A46E6" w:rsidRPr="00902256" w:rsidRDefault="009A46E6" w:rsidP="009A46E6">
      <w:pPr>
        <w:tabs>
          <w:tab w:val="left" w:pos="2670"/>
        </w:tabs>
        <w:spacing w:after="0" w:line="480" w:lineRule="auto"/>
        <w:jc w:val="center"/>
        <w:rPr>
          <w:rFonts w:cs="Times New Roman"/>
          <w:sz w:val="24"/>
          <w:szCs w:val="24"/>
        </w:rPr>
      </w:pPr>
      <w:r w:rsidRPr="00902256">
        <w:rPr>
          <w:rFonts w:cs="Times New Roman"/>
          <w:sz w:val="24"/>
          <w:szCs w:val="24"/>
        </w:rPr>
        <w:t>EMILY MARIE SOVEY</w:t>
      </w:r>
    </w:p>
    <w:p w:rsidR="009A46E6" w:rsidRPr="00902256" w:rsidRDefault="00FB53DC" w:rsidP="009A46E6">
      <w:pPr>
        <w:tabs>
          <w:tab w:val="left" w:pos="2670"/>
        </w:tabs>
        <w:spacing w:after="0" w:line="480" w:lineRule="auto"/>
        <w:jc w:val="center"/>
        <w:rPr>
          <w:rFonts w:cs="Times New Roman"/>
          <w:sz w:val="24"/>
          <w:szCs w:val="24"/>
        </w:rPr>
      </w:pPr>
      <w:r w:rsidRPr="00902256">
        <w:rPr>
          <w:rFonts w:cs="Times New Roman"/>
          <w:sz w:val="24"/>
          <w:szCs w:val="24"/>
        </w:rPr>
        <w:t xml:space="preserve">Art </w:t>
      </w:r>
      <w:r w:rsidR="0064033F" w:rsidRPr="00902256">
        <w:rPr>
          <w:rFonts w:cs="Times New Roman"/>
          <w:sz w:val="24"/>
          <w:szCs w:val="24"/>
        </w:rPr>
        <w:t>304</w:t>
      </w:r>
    </w:p>
    <w:p w:rsidR="009A46E6" w:rsidRPr="00902256" w:rsidRDefault="00FB53DC" w:rsidP="009A46E6">
      <w:pPr>
        <w:tabs>
          <w:tab w:val="left" w:pos="2670"/>
        </w:tabs>
        <w:spacing w:after="0" w:line="480" w:lineRule="auto"/>
        <w:jc w:val="center"/>
        <w:rPr>
          <w:rFonts w:cs="Times New Roman"/>
          <w:sz w:val="24"/>
          <w:szCs w:val="24"/>
        </w:rPr>
      </w:pPr>
      <w:r w:rsidRPr="00902256">
        <w:rPr>
          <w:rFonts w:cs="Times New Roman"/>
          <w:sz w:val="24"/>
          <w:szCs w:val="24"/>
        </w:rPr>
        <w:t>December 1</w:t>
      </w:r>
      <w:r w:rsidR="0064033F" w:rsidRPr="00902256">
        <w:rPr>
          <w:rFonts w:cs="Times New Roman"/>
          <w:sz w:val="24"/>
          <w:szCs w:val="24"/>
        </w:rPr>
        <w:t>1</w:t>
      </w:r>
      <w:r w:rsidRPr="00902256">
        <w:rPr>
          <w:rFonts w:cs="Times New Roman"/>
          <w:sz w:val="24"/>
          <w:szCs w:val="24"/>
        </w:rPr>
        <w:t>, 201</w:t>
      </w:r>
      <w:r w:rsidR="0064033F" w:rsidRPr="00902256">
        <w:rPr>
          <w:rFonts w:cs="Times New Roman"/>
          <w:sz w:val="24"/>
          <w:szCs w:val="24"/>
        </w:rPr>
        <w:t>2</w:t>
      </w:r>
    </w:p>
    <w:p w:rsidR="009A46E6" w:rsidRPr="00902256" w:rsidRDefault="009A46E6" w:rsidP="009A46E6">
      <w:pPr>
        <w:spacing w:after="0" w:line="480" w:lineRule="auto"/>
        <w:rPr>
          <w:rFonts w:cs="Times New Roman"/>
          <w:sz w:val="24"/>
          <w:szCs w:val="24"/>
        </w:rPr>
      </w:pPr>
    </w:p>
    <w:p w:rsidR="00A403C4" w:rsidRPr="00902256" w:rsidRDefault="00A403C4" w:rsidP="009A46E6">
      <w:pPr>
        <w:spacing w:after="0" w:line="480" w:lineRule="auto"/>
        <w:rPr>
          <w:rFonts w:cs="Times New Roman"/>
          <w:sz w:val="24"/>
          <w:szCs w:val="24"/>
        </w:rPr>
      </w:pPr>
    </w:p>
    <w:p w:rsidR="00105C01" w:rsidRDefault="001071C8" w:rsidP="009A46E6">
      <w:pPr>
        <w:spacing w:after="0" w:line="480" w:lineRule="auto"/>
        <w:rPr>
          <w:rFonts w:cs="Times New Roman"/>
          <w:sz w:val="24"/>
          <w:szCs w:val="24"/>
        </w:rPr>
      </w:pPr>
      <w:r w:rsidRPr="00902256">
        <w:rPr>
          <w:rFonts w:cs="Times New Roman"/>
          <w:sz w:val="24"/>
          <w:szCs w:val="24"/>
        </w:rPr>
        <w:lastRenderedPageBreak/>
        <w:t>To Whom It May Concern,</w:t>
      </w:r>
    </w:p>
    <w:p w:rsidR="00CC5E54" w:rsidRDefault="00CC5E54" w:rsidP="009A46E6">
      <w:pPr>
        <w:spacing w:after="0" w:line="480" w:lineRule="auto"/>
        <w:rPr>
          <w:rFonts w:cs="Times New Roman"/>
          <w:sz w:val="24"/>
          <w:szCs w:val="24"/>
        </w:rPr>
      </w:pPr>
      <w:r>
        <w:rPr>
          <w:rFonts w:cs="Times New Roman"/>
          <w:sz w:val="24"/>
          <w:szCs w:val="24"/>
        </w:rPr>
        <w:tab/>
      </w:r>
      <w:r w:rsidR="00476B8A">
        <w:rPr>
          <w:rFonts w:cs="Times New Roman"/>
          <w:sz w:val="24"/>
          <w:szCs w:val="24"/>
        </w:rPr>
        <w:t xml:space="preserve">The art of the colonial period in Latin America can be separated into two differing branches of production: those done by artists of European descent and indigenous artists.  European painters were trained in the traditional style of Renaissance; and as the years progressed, they were influenced by Baroque, Mannerism, and then Rococo.  The eighteenth century saw the manifestation of the Rococo style in </w:t>
      </w:r>
      <w:r w:rsidR="00C94104">
        <w:rPr>
          <w:rFonts w:cs="Times New Roman"/>
          <w:sz w:val="24"/>
          <w:szCs w:val="24"/>
        </w:rPr>
        <w:t>C</w:t>
      </w:r>
      <w:r w:rsidR="00476B8A">
        <w:rPr>
          <w:rFonts w:cs="Times New Roman"/>
          <w:sz w:val="24"/>
          <w:szCs w:val="24"/>
        </w:rPr>
        <w:t>olonial Latin America, albeit with some changes from local cultural influence.  The other artists, however, were natives of the land and so brought forth in their works some of the styles and traditions that were a part of their cultures.  The Cuzco School was perhaps the most famous guild of</w:t>
      </w:r>
      <w:r w:rsidR="00731B68">
        <w:rPr>
          <w:rFonts w:cs="Times New Roman"/>
          <w:sz w:val="24"/>
          <w:szCs w:val="24"/>
        </w:rPr>
        <w:t xml:space="preserve"> anonymous</w:t>
      </w:r>
      <w:r w:rsidR="00476B8A">
        <w:rPr>
          <w:rFonts w:cs="Times New Roman"/>
          <w:sz w:val="24"/>
          <w:szCs w:val="24"/>
        </w:rPr>
        <w:t xml:space="preserve"> indigenous artists, located in Cuzco, Peru.  During early colonization, this </w:t>
      </w:r>
      <w:r w:rsidR="00731B68">
        <w:rPr>
          <w:rFonts w:cs="Times New Roman"/>
          <w:sz w:val="24"/>
          <w:szCs w:val="24"/>
        </w:rPr>
        <w:t>school was formed by monks who wanted to further the education of indigenous people through the production of art.  As the school grew, and the indigenous converted to Christianity, art became a medium through which these artists could celebrate their religious beliefs.</w:t>
      </w:r>
      <w:r w:rsidR="00731B68">
        <w:rPr>
          <w:rStyle w:val="FootnoteReference"/>
          <w:sz w:val="24"/>
          <w:szCs w:val="24"/>
        </w:rPr>
        <w:footnoteReference w:id="1"/>
      </w:r>
      <w:r w:rsidR="00731B68">
        <w:rPr>
          <w:rFonts w:cs="Times New Roman"/>
          <w:sz w:val="24"/>
          <w:szCs w:val="24"/>
        </w:rPr>
        <w:t xml:space="preserve">  During the seventeenth century and onwards, the anonymity of artists furthered this idea that their pieces were meant to </w:t>
      </w:r>
      <w:r w:rsidR="0019166B">
        <w:rPr>
          <w:rFonts w:cs="Times New Roman"/>
          <w:sz w:val="24"/>
          <w:szCs w:val="24"/>
        </w:rPr>
        <w:t>be created</w:t>
      </w:r>
      <w:r w:rsidR="00731B68">
        <w:rPr>
          <w:rFonts w:cs="Times New Roman"/>
          <w:sz w:val="24"/>
          <w:szCs w:val="24"/>
        </w:rPr>
        <w:t xml:space="preserve"> in reverence for God and not their own achievements.</w:t>
      </w:r>
      <w:r w:rsidR="00731B68">
        <w:rPr>
          <w:rStyle w:val="FootnoteReference"/>
          <w:sz w:val="24"/>
          <w:szCs w:val="24"/>
        </w:rPr>
        <w:footnoteReference w:id="2"/>
      </w:r>
      <w:r w:rsidR="00012555">
        <w:rPr>
          <w:rFonts w:cs="Times New Roman"/>
          <w:sz w:val="24"/>
          <w:szCs w:val="24"/>
        </w:rPr>
        <w:t xml:space="preserve">  By the eighteenth century, the artists of the Cuzco School had developed a certain style that combined the aesthetics of European art in combination with their own cultural influence, yet maintaining a focus on the religious aspects of the pieces.  I have chosen the following as a sampling of paintings done by the Cuzco School in the eighteenth century, so as to create an exhibit that will help to inform </w:t>
      </w:r>
      <w:r w:rsidR="00012555">
        <w:rPr>
          <w:rFonts w:cs="Times New Roman"/>
          <w:sz w:val="24"/>
          <w:szCs w:val="24"/>
        </w:rPr>
        <w:lastRenderedPageBreak/>
        <w:t xml:space="preserve">the general public as to why this group of artists was so important to the production of art in </w:t>
      </w:r>
      <w:r w:rsidR="00C94104">
        <w:rPr>
          <w:rFonts w:cs="Times New Roman"/>
          <w:sz w:val="24"/>
          <w:szCs w:val="24"/>
        </w:rPr>
        <w:t>C</w:t>
      </w:r>
      <w:r w:rsidR="00012555">
        <w:rPr>
          <w:rFonts w:cs="Times New Roman"/>
          <w:sz w:val="24"/>
          <w:szCs w:val="24"/>
        </w:rPr>
        <w:t>olonial Latin America.</w:t>
      </w:r>
    </w:p>
    <w:p w:rsidR="00A62515" w:rsidRDefault="00012555" w:rsidP="009A46E6">
      <w:pPr>
        <w:spacing w:after="0" w:line="480" w:lineRule="auto"/>
        <w:rPr>
          <w:rFonts w:cs="Times New Roman"/>
          <w:sz w:val="24"/>
          <w:szCs w:val="24"/>
        </w:rPr>
      </w:pPr>
      <w:r>
        <w:rPr>
          <w:rFonts w:cs="Times New Roman"/>
          <w:sz w:val="24"/>
          <w:szCs w:val="24"/>
        </w:rPr>
        <w:tab/>
        <w:t>The Cuzco School was active in Peru from the 16</w:t>
      </w:r>
      <w:r w:rsidRPr="00012555">
        <w:rPr>
          <w:rFonts w:cs="Times New Roman"/>
          <w:sz w:val="24"/>
          <w:szCs w:val="24"/>
          <w:vertAlign w:val="superscript"/>
        </w:rPr>
        <w:t>th</w:t>
      </w:r>
      <w:r>
        <w:rPr>
          <w:rFonts w:cs="Times New Roman"/>
          <w:sz w:val="24"/>
          <w:szCs w:val="24"/>
        </w:rPr>
        <w:t xml:space="preserve"> to the 19</w:t>
      </w:r>
      <w:r w:rsidRPr="00012555">
        <w:rPr>
          <w:rFonts w:cs="Times New Roman"/>
          <w:sz w:val="24"/>
          <w:szCs w:val="24"/>
          <w:vertAlign w:val="superscript"/>
        </w:rPr>
        <w:t>th</w:t>
      </w:r>
      <w:r>
        <w:rPr>
          <w:rFonts w:cs="Times New Roman"/>
          <w:sz w:val="24"/>
          <w:szCs w:val="24"/>
        </w:rPr>
        <w:t xml:space="preserve"> century, and its main purpose was to be a guiding force for indigenous artists to create the ‘appropriate’ kinds of paintings.</w:t>
      </w:r>
      <w:r>
        <w:rPr>
          <w:rStyle w:val="FootnoteReference"/>
          <w:sz w:val="24"/>
          <w:szCs w:val="24"/>
        </w:rPr>
        <w:footnoteReference w:id="3"/>
      </w:r>
      <w:r>
        <w:rPr>
          <w:rFonts w:cs="Times New Roman"/>
          <w:sz w:val="24"/>
          <w:szCs w:val="24"/>
        </w:rPr>
        <w:t xml:space="preserve">  Monks would monitor the creation of pieces</w:t>
      </w:r>
      <w:r w:rsidR="004F5FF6">
        <w:rPr>
          <w:rFonts w:cs="Times New Roman"/>
          <w:sz w:val="24"/>
          <w:szCs w:val="24"/>
        </w:rPr>
        <w:t xml:space="preserve">, making sure that natives were correctly portraying religious imagery.  They were especially interested in keeping out the cultural aspects that the indigenous were prone to use.  </w:t>
      </w:r>
      <w:r w:rsidR="00757C98">
        <w:rPr>
          <w:rFonts w:cs="Times New Roman"/>
          <w:sz w:val="24"/>
          <w:szCs w:val="24"/>
        </w:rPr>
        <w:t>However, many of the indigenous artists added in small details that would help to remind them of their culture while still adhering to the rules of the church.</w:t>
      </w:r>
      <w:r w:rsidR="00757C98">
        <w:rPr>
          <w:rStyle w:val="FootnoteReference"/>
          <w:sz w:val="24"/>
          <w:szCs w:val="24"/>
        </w:rPr>
        <w:footnoteReference w:id="4"/>
      </w:r>
      <w:r w:rsidR="00757C98">
        <w:rPr>
          <w:rFonts w:cs="Times New Roman"/>
          <w:sz w:val="24"/>
          <w:szCs w:val="24"/>
        </w:rPr>
        <w:t xml:space="preserve">  </w:t>
      </w:r>
      <w:r w:rsidR="003A6D97">
        <w:rPr>
          <w:rFonts w:cs="Times New Roman"/>
          <w:sz w:val="24"/>
          <w:szCs w:val="24"/>
        </w:rPr>
        <w:t xml:space="preserve">Initially, the paintings portrayed religious themes of the Virgin and Child, and other simple biblical references; so as to reinforce the main doctrine of Christianity among the natives.  With the coming of the eighteenth century, </w:t>
      </w:r>
      <w:r w:rsidR="00C84EB6">
        <w:rPr>
          <w:rFonts w:cs="Times New Roman"/>
          <w:sz w:val="24"/>
          <w:szCs w:val="24"/>
        </w:rPr>
        <w:t>the imagery incorporated a variety of religious scenes along with some historical references of the conquest.</w:t>
      </w:r>
      <w:r w:rsidR="006F4F6E">
        <w:rPr>
          <w:rStyle w:val="FootnoteReference"/>
          <w:sz w:val="24"/>
          <w:szCs w:val="24"/>
        </w:rPr>
        <w:footnoteReference w:id="5"/>
      </w:r>
      <w:r w:rsidR="006F4F6E">
        <w:rPr>
          <w:rFonts w:cs="Times New Roman"/>
          <w:sz w:val="24"/>
          <w:szCs w:val="24"/>
        </w:rPr>
        <w:t xml:space="preserve">  </w:t>
      </w:r>
      <w:r w:rsidR="00407ED0">
        <w:rPr>
          <w:rFonts w:cs="Times New Roman"/>
          <w:sz w:val="24"/>
          <w:szCs w:val="24"/>
        </w:rPr>
        <w:t>In the proposed exhibit, it will be these themes which will be explored in the variety of images.</w:t>
      </w:r>
    </w:p>
    <w:p w:rsidR="00476B8A" w:rsidRPr="00902256" w:rsidRDefault="00757C98" w:rsidP="009A46E6">
      <w:pPr>
        <w:spacing w:after="0" w:line="480" w:lineRule="auto"/>
        <w:rPr>
          <w:rFonts w:cs="Times New Roman"/>
          <w:sz w:val="24"/>
          <w:szCs w:val="24"/>
        </w:rPr>
      </w:pPr>
      <w:r>
        <w:rPr>
          <w:rFonts w:cs="Times New Roman"/>
          <w:sz w:val="24"/>
          <w:szCs w:val="24"/>
        </w:rPr>
        <w:tab/>
        <w:t xml:space="preserve">The first image that I have selected to be a part of the exhibit is, “The Virgin of Bethlehem,” created in 1770. (Figure 1)  This piece is a strong representative of the style favored by natives, and shows how they not only deviated from the traditional Renaissance depiction of figures, but also included aspects of their own culture.  </w:t>
      </w:r>
      <w:r w:rsidR="00407ED0">
        <w:rPr>
          <w:rFonts w:cs="Times New Roman"/>
          <w:sz w:val="24"/>
          <w:szCs w:val="24"/>
        </w:rPr>
        <w:t>The Virgin Mary is rendered in very flat, stylized clothing</w:t>
      </w:r>
      <w:r w:rsidR="006852D2">
        <w:rPr>
          <w:rFonts w:cs="Times New Roman"/>
          <w:sz w:val="24"/>
          <w:szCs w:val="24"/>
        </w:rPr>
        <w:t xml:space="preserve"> with floral, gold patterning</w:t>
      </w:r>
      <w:r w:rsidR="00407ED0">
        <w:rPr>
          <w:rFonts w:cs="Times New Roman"/>
          <w:sz w:val="24"/>
          <w:szCs w:val="24"/>
        </w:rPr>
        <w:t xml:space="preserve">; which was very typical of art produced </w:t>
      </w:r>
      <w:r w:rsidR="00407ED0">
        <w:rPr>
          <w:rFonts w:cs="Times New Roman"/>
          <w:sz w:val="24"/>
          <w:szCs w:val="24"/>
        </w:rPr>
        <w:lastRenderedPageBreak/>
        <w:t>by the indigenous people who were not trained in the Renaissance traditions.</w:t>
      </w:r>
      <w:r w:rsidR="003D0D0B">
        <w:rPr>
          <w:rStyle w:val="FootnoteReference"/>
          <w:sz w:val="24"/>
          <w:szCs w:val="24"/>
        </w:rPr>
        <w:footnoteReference w:id="6"/>
      </w:r>
      <w:r w:rsidR="00407ED0">
        <w:rPr>
          <w:rFonts w:cs="Times New Roman"/>
          <w:sz w:val="24"/>
          <w:szCs w:val="24"/>
        </w:rPr>
        <w:t xml:space="preserve">  </w:t>
      </w:r>
      <w:r w:rsidR="00D45ACD">
        <w:rPr>
          <w:rFonts w:cs="Times New Roman"/>
          <w:sz w:val="24"/>
          <w:szCs w:val="24"/>
        </w:rPr>
        <w:t>This style of decoration was known as brocateado, and was used as a means of appealing to indigenous viewers.</w:t>
      </w:r>
      <w:r w:rsidR="00D45ACD">
        <w:rPr>
          <w:rStyle w:val="FootnoteReference"/>
          <w:sz w:val="24"/>
          <w:szCs w:val="24"/>
        </w:rPr>
        <w:footnoteReference w:id="7"/>
      </w:r>
      <w:r w:rsidR="00D45ACD">
        <w:rPr>
          <w:rFonts w:cs="Times New Roman"/>
          <w:sz w:val="24"/>
          <w:szCs w:val="24"/>
        </w:rPr>
        <w:t xml:space="preserve">  </w:t>
      </w:r>
      <w:r w:rsidR="003D0D0B">
        <w:rPr>
          <w:rFonts w:cs="Times New Roman"/>
          <w:sz w:val="24"/>
          <w:szCs w:val="24"/>
        </w:rPr>
        <w:t xml:space="preserve">She is shown standing upon a crescent moon, which </w:t>
      </w:r>
      <w:r w:rsidR="00C91E1A">
        <w:rPr>
          <w:rFonts w:cs="Times New Roman"/>
          <w:sz w:val="24"/>
          <w:szCs w:val="24"/>
        </w:rPr>
        <w:t>was part of Francisco Pacheco’s concept on the depiction of the Virgin.</w:t>
      </w:r>
      <w:r w:rsidR="00C91E1A">
        <w:rPr>
          <w:rStyle w:val="FootnoteReference"/>
          <w:sz w:val="24"/>
          <w:szCs w:val="24"/>
        </w:rPr>
        <w:footnoteReference w:id="8"/>
      </w:r>
      <w:r w:rsidR="00C91E1A">
        <w:rPr>
          <w:rFonts w:cs="Times New Roman"/>
          <w:sz w:val="24"/>
          <w:szCs w:val="24"/>
        </w:rPr>
        <w:t xml:space="preserve">  </w:t>
      </w:r>
      <w:r w:rsidR="00626ED0">
        <w:rPr>
          <w:rFonts w:cs="Times New Roman"/>
          <w:sz w:val="24"/>
          <w:szCs w:val="24"/>
        </w:rPr>
        <w:t xml:space="preserve">In this portrayal of the virgin, such things as the crescent moon, flowers, and other symbols were incorporated to show both the divinity of Mary and her </w:t>
      </w:r>
      <w:r w:rsidR="00DA20B2">
        <w:rPr>
          <w:rFonts w:cs="Times New Roman"/>
          <w:sz w:val="24"/>
          <w:szCs w:val="24"/>
        </w:rPr>
        <w:t>purity.</w:t>
      </w:r>
      <w:r w:rsidR="00DA20B2">
        <w:rPr>
          <w:rStyle w:val="FootnoteReference"/>
          <w:sz w:val="24"/>
          <w:szCs w:val="24"/>
        </w:rPr>
        <w:footnoteReference w:id="9"/>
      </w:r>
      <w:r w:rsidR="00DA20B2">
        <w:rPr>
          <w:rFonts w:cs="Times New Roman"/>
          <w:sz w:val="24"/>
          <w:szCs w:val="24"/>
        </w:rPr>
        <w:t xml:space="preserve">  At the same time, however, the moon is also symbolic of the Great Goddess Incan deity, who is closely associated with agriculture and life.</w:t>
      </w:r>
      <w:r w:rsidR="003F3532">
        <w:rPr>
          <w:rStyle w:val="FootnoteReference"/>
          <w:sz w:val="24"/>
          <w:szCs w:val="24"/>
        </w:rPr>
        <w:footnoteReference w:id="10"/>
      </w:r>
      <w:r w:rsidR="00DA20B2">
        <w:rPr>
          <w:rFonts w:cs="Times New Roman"/>
          <w:sz w:val="24"/>
          <w:szCs w:val="24"/>
        </w:rPr>
        <w:t xml:space="preserve">  </w:t>
      </w:r>
      <w:r w:rsidR="003F3532">
        <w:rPr>
          <w:rFonts w:cs="Times New Roman"/>
          <w:sz w:val="24"/>
          <w:szCs w:val="24"/>
        </w:rPr>
        <w:t xml:space="preserve">By incorporating this aspect, the artist is reflecting the idea that although the indigenous people have converted to Christianity, they are still aware of their cultural heritage. </w:t>
      </w:r>
    </w:p>
    <w:p w:rsidR="001071C8" w:rsidRDefault="001071C8" w:rsidP="00731B68">
      <w:pPr>
        <w:spacing w:after="0" w:line="480" w:lineRule="auto"/>
        <w:rPr>
          <w:rFonts w:cs="Times New Roman"/>
          <w:sz w:val="24"/>
          <w:szCs w:val="24"/>
        </w:rPr>
      </w:pPr>
      <w:r w:rsidRPr="00902256">
        <w:rPr>
          <w:rFonts w:cs="Times New Roman"/>
          <w:sz w:val="24"/>
          <w:szCs w:val="24"/>
        </w:rPr>
        <w:tab/>
      </w:r>
      <w:r w:rsidR="0012093A" w:rsidRPr="00902256">
        <w:rPr>
          <w:rFonts w:cs="Times New Roman"/>
          <w:sz w:val="24"/>
          <w:szCs w:val="24"/>
        </w:rPr>
        <w:t xml:space="preserve"> </w:t>
      </w:r>
      <w:r w:rsidR="003F3532">
        <w:rPr>
          <w:rFonts w:cs="Times New Roman"/>
          <w:sz w:val="24"/>
          <w:szCs w:val="24"/>
        </w:rPr>
        <w:t>Another image which is closely related to the Virgin and Child is the depiction of the Christ child with Saint Joseph. (Figure 2)</w:t>
      </w:r>
      <w:r w:rsidR="004661FC">
        <w:rPr>
          <w:rFonts w:cs="Times New Roman"/>
          <w:sz w:val="24"/>
          <w:szCs w:val="24"/>
        </w:rPr>
        <w:t xml:space="preserve">  </w:t>
      </w:r>
      <w:r w:rsidR="00427DD1">
        <w:rPr>
          <w:rFonts w:cs="Times New Roman"/>
          <w:sz w:val="24"/>
          <w:szCs w:val="24"/>
        </w:rPr>
        <w:t xml:space="preserve">In this painting, </w:t>
      </w:r>
      <w:r w:rsidR="006E028C">
        <w:rPr>
          <w:rFonts w:cs="Times New Roman"/>
          <w:sz w:val="24"/>
          <w:szCs w:val="24"/>
        </w:rPr>
        <w:t xml:space="preserve">a young Christ is standing hand in hand with his mortal father, Joseph.  </w:t>
      </w:r>
      <w:r w:rsidR="006B2457">
        <w:rPr>
          <w:rFonts w:cs="Times New Roman"/>
          <w:sz w:val="24"/>
          <w:szCs w:val="24"/>
        </w:rPr>
        <w:t xml:space="preserve">In his hand, Joseph is holding a branch of white lilies, which is symbolic of both his and Christ’s purity.  </w:t>
      </w:r>
      <w:r w:rsidR="003157BE">
        <w:rPr>
          <w:rFonts w:cs="Times New Roman"/>
          <w:sz w:val="24"/>
          <w:szCs w:val="24"/>
        </w:rPr>
        <w:t>Again, this saint follows the dictations of Francisco Pacheco ideology of the portrayal of religious figures.</w:t>
      </w:r>
      <w:r w:rsidR="003157BE">
        <w:rPr>
          <w:rStyle w:val="FootnoteReference"/>
          <w:sz w:val="24"/>
          <w:szCs w:val="24"/>
        </w:rPr>
        <w:footnoteReference w:id="11"/>
      </w:r>
      <w:r w:rsidR="003157BE">
        <w:rPr>
          <w:rFonts w:cs="Times New Roman"/>
          <w:sz w:val="24"/>
          <w:szCs w:val="24"/>
        </w:rPr>
        <w:t xml:space="preserve"> </w:t>
      </w:r>
      <w:r w:rsidR="00DA52CC">
        <w:rPr>
          <w:rFonts w:cs="Times New Roman"/>
          <w:sz w:val="24"/>
          <w:szCs w:val="24"/>
        </w:rPr>
        <w:t xml:space="preserve"> Joseph is depicted as being in his early thirties, mature yet still youthful, so as to convey to the natives the concept of an ideal father role.</w:t>
      </w:r>
      <w:r w:rsidR="00DA52CC">
        <w:rPr>
          <w:rStyle w:val="FootnoteReference"/>
          <w:sz w:val="24"/>
          <w:szCs w:val="24"/>
        </w:rPr>
        <w:footnoteReference w:id="12"/>
      </w:r>
      <w:r w:rsidR="00DA52CC">
        <w:rPr>
          <w:rFonts w:cs="Times New Roman"/>
          <w:sz w:val="24"/>
          <w:szCs w:val="24"/>
        </w:rPr>
        <w:t xml:space="preserve">  </w:t>
      </w:r>
      <w:r w:rsidR="006B2457">
        <w:rPr>
          <w:rFonts w:cs="Times New Roman"/>
          <w:sz w:val="24"/>
          <w:szCs w:val="24"/>
        </w:rPr>
        <w:t>The</w:t>
      </w:r>
      <w:r w:rsidR="006852D2">
        <w:rPr>
          <w:rFonts w:cs="Times New Roman"/>
          <w:sz w:val="24"/>
          <w:szCs w:val="24"/>
        </w:rPr>
        <w:t xml:space="preserve"> figures are</w:t>
      </w:r>
      <w:r w:rsidR="006B2457">
        <w:rPr>
          <w:rFonts w:cs="Times New Roman"/>
          <w:sz w:val="24"/>
          <w:szCs w:val="24"/>
        </w:rPr>
        <w:t xml:space="preserve"> each</w:t>
      </w:r>
      <w:r w:rsidR="006852D2">
        <w:rPr>
          <w:rFonts w:cs="Times New Roman"/>
          <w:sz w:val="24"/>
          <w:szCs w:val="24"/>
        </w:rPr>
        <w:t xml:space="preserve"> clothed in heavily stylized cloth, with a gold leaf pattern</w:t>
      </w:r>
      <w:r w:rsidR="00D45ACD">
        <w:rPr>
          <w:rFonts w:cs="Times New Roman"/>
          <w:sz w:val="24"/>
          <w:szCs w:val="24"/>
        </w:rPr>
        <w:t xml:space="preserve"> of brocateado</w:t>
      </w:r>
      <w:r w:rsidR="006852D2">
        <w:rPr>
          <w:rFonts w:cs="Times New Roman"/>
          <w:sz w:val="24"/>
          <w:szCs w:val="24"/>
        </w:rPr>
        <w:t xml:space="preserve"> </w:t>
      </w:r>
      <w:r w:rsidR="00D45ACD">
        <w:rPr>
          <w:rFonts w:cs="Times New Roman"/>
          <w:sz w:val="24"/>
          <w:szCs w:val="24"/>
        </w:rPr>
        <w:t>that</w:t>
      </w:r>
      <w:r w:rsidR="006852D2">
        <w:rPr>
          <w:rFonts w:cs="Times New Roman"/>
          <w:sz w:val="24"/>
          <w:szCs w:val="24"/>
        </w:rPr>
        <w:t xml:space="preserve"> </w:t>
      </w:r>
      <w:r w:rsidR="00D45ACD">
        <w:rPr>
          <w:rFonts w:cs="Times New Roman"/>
          <w:sz w:val="24"/>
          <w:szCs w:val="24"/>
        </w:rPr>
        <w:t>portrays</w:t>
      </w:r>
      <w:r w:rsidR="006852D2">
        <w:rPr>
          <w:rFonts w:cs="Times New Roman"/>
          <w:sz w:val="24"/>
          <w:szCs w:val="24"/>
        </w:rPr>
        <w:t xml:space="preserve"> a sense of flattening in the painting common among works produced by the Cuzco School artists.</w:t>
      </w:r>
      <w:r w:rsidR="00F70DA5">
        <w:rPr>
          <w:rStyle w:val="FootnoteReference"/>
          <w:sz w:val="24"/>
          <w:szCs w:val="24"/>
        </w:rPr>
        <w:footnoteReference w:id="13"/>
      </w:r>
      <w:r w:rsidR="006852D2">
        <w:rPr>
          <w:rFonts w:cs="Times New Roman"/>
          <w:sz w:val="24"/>
          <w:szCs w:val="24"/>
        </w:rPr>
        <w:t xml:space="preserve">  </w:t>
      </w:r>
      <w:r w:rsidR="00F70DA5">
        <w:rPr>
          <w:rFonts w:cs="Times New Roman"/>
          <w:sz w:val="24"/>
          <w:szCs w:val="24"/>
        </w:rPr>
        <w:t xml:space="preserve">There is a hint of a landscape background, but it is nondescript so </w:t>
      </w:r>
      <w:r w:rsidR="00F70DA5">
        <w:rPr>
          <w:rFonts w:cs="Times New Roman"/>
          <w:sz w:val="24"/>
          <w:szCs w:val="24"/>
        </w:rPr>
        <w:lastRenderedPageBreak/>
        <w:t xml:space="preserve">as to not draw the viewer’s attention away from the central figures.  </w:t>
      </w:r>
      <w:r w:rsidR="00AF729D">
        <w:rPr>
          <w:rFonts w:cs="Times New Roman"/>
          <w:sz w:val="24"/>
          <w:szCs w:val="24"/>
        </w:rPr>
        <w:t>Surrounding the scene is a border of various flowers</w:t>
      </w:r>
      <w:r w:rsidR="00A426C7">
        <w:rPr>
          <w:rFonts w:cs="Times New Roman"/>
          <w:sz w:val="24"/>
          <w:szCs w:val="24"/>
        </w:rPr>
        <w:t>, a direct reference to the indigenous culture.  By including these flowers, the artist is reminding the viewer of the Incan deities, and the idea of agriculture as being an important part of their heritage.</w:t>
      </w:r>
      <w:r w:rsidR="003157BE">
        <w:rPr>
          <w:rFonts w:cs="Times New Roman"/>
          <w:sz w:val="24"/>
          <w:szCs w:val="24"/>
        </w:rPr>
        <w:t xml:space="preserve">  </w:t>
      </w:r>
    </w:p>
    <w:p w:rsidR="00DA52CC" w:rsidRDefault="00DA52CC" w:rsidP="00731B68">
      <w:pPr>
        <w:spacing w:after="0" w:line="480" w:lineRule="auto"/>
        <w:rPr>
          <w:rFonts w:cs="Times New Roman"/>
          <w:sz w:val="24"/>
          <w:szCs w:val="24"/>
        </w:rPr>
      </w:pPr>
      <w:r>
        <w:rPr>
          <w:rFonts w:cs="Times New Roman"/>
          <w:sz w:val="24"/>
          <w:szCs w:val="24"/>
        </w:rPr>
        <w:tab/>
      </w:r>
      <w:r w:rsidR="00740E23">
        <w:rPr>
          <w:rFonts w:cs="Times New Roman"/>
          <w:sz w:val="24"/>
          <w:szCs w:val="24"/>
        </w:rPr>
        <w:t>The Last Judgment scene was one that very commonly used in Spain during the thirteenth century in the tympanum of Romanesque churches.</w:t>
      </w:r>
      <w:r w:rsidR="00740E23">
        <w:rPr>
          <w:rStyle w:val="FootnoteReference"/>
          <w:sz w:val="24"/>
          <w:szCs w:val="24"/>
        </w:rPr>
        <w:footnoteReference w:id="14"/>
      </w:r>
      <w:r w:rsidR="00740E23">
        <w:rPr>
          <w:rFonts w:cs="Times New Roman"/>
          <w:sz w:val="24"/>
          <w:szCs w:val="24"/>
        </w:rPr>
        <w:t xml:space="preserve">  This scene was one that cautioned the members of the church to remember that at death Christ would weigh their souls so as to decide whether or not they were worthy of heaven.</w:t>
      </w:r>
      <w:r w:rsidR="00740E23">
        <w:rPr>
          <w:rStyle w:val="FootnoteReference"/>
          <w:sz w:val="24"/>
          <w:szCs w:val="24"/>
        </w:rPr>
        <w:footnoteReference w:id="15"/>
      </w:r>
      <w:r w:rsidR="00575DD6">
        <w:rPr>
          <w:rFonts w:cs="Times New Roman"/>
          <w:sz w:val="24"/>
          <w:szCs w:val="24"/>
        </w:rPr>
        <w:t xml:space="preserve">  Often this scene would be accompanied by a gruesome depiction of hell, which was seen as a reminder of the punishment for one’s sins.  Such is the case with the piece done by the Cuzco School a</w:t>
      </w:r>
      <w:r w:rsidR="001560C3">
        <w:rPr>
          <w:rFonts w:cs="Times New Roman"/>
          <w:sz w:val="24"/>
          <w:szCs w:val="24"/>
        </w:rPr>
        <w:t>rtists.  The painting shows Michael the Archangel holding a balance scale, representing the judgment of the good and evil that a person has done.</w:t>
      </w:r>
      <w:r w:rsidR="001560C3">
        <w:rPr>
          <w:rStyle w:val="FootnoteReference"/>
          <w:sz w:val="24"/>
          <w:szCs w:val="24"/>
        </w:rPr>
        <w:footnoteReference w:id="16"/>
      </w:r>
      <w:r w:rsidR="001560C3">
        <w:rPr>
          <w:rFonts w:cs="Times New Roman"/>
          <w:sz w:val="24"/>
          <w:szCs w:val="24"/>
        </w:rPr>
        <w:t xml:space="preserve">  Below him are the souls who are not worthy of heaven and so must suffer in hell for their sins.</w:t>
      </w:r>
      <w:r w:rsidR="00E06B44">
        <w:rPr>
          <w:rFonts w:cs="Times New Roman"/>
          <w:sz w:val="24"/>
          <w:szCs w:val="24"/>
        </w:rPr>
        <w:t xml:space="preserve">  This scene was used more commonly in the seventeenth and eighteenth century (once most of the indigenous had been converted); so as to reinforce the idea that sinful behavior would be condemning in the afterlife.</w:t>
      </w:r>
    </w:p>
    <w:p w:rsidR="00E06B44" w:rsidRDefault="00E06B44" w:rsidP="00731B68">
      <w:pPr>
        <w:spacing w:after="0" w:line="480" w:lineRule="auto"/>
        <w:rPr>
          <w:rFonts w:cs="Times New Roman"/>
          <w:sz w:val="24"/>
          <w:szCs w:val="24"/>
        </w:rPr>
      </w:pPr>
      <w:r>
        <w:rPr>
          <w:rFonts w:cs="Times New Roman"/>
          <w:sz w:val="24"/>
          <w:szCs w:val="24"/>
        </w:rPr>
        <w:tab/>
      </w:r>
      <w:r w:rsidR="00716D6F">
        <w:rPr>
          <w:rFonts w:cs="Times New Roman"/>
          <w:sz w:val="24"/>
          <w:szCs w:val="24"/>
        </w:rPr>
        <w:t xml:space="preserve">Another popular religious scene was that of the Last Super.  Hence, it is no surprise that the artists of the Cuzco School used it as one of their themes. (Figure 4)  In this traditional Christian scene, Jesus is shown in the middle with one hand in blessing and the other breaking bread.  It is this imagery which alludes to the Christian idea of the Eucharist, that the bread and </w:t>
      </w:r>
      <w:r w:rsidR="00716D6F">
        <w:rPr>
          <w:rFonts w:cs="Times New Roman"/>
          <w:sz w:val="24"/>
          <w:szCs w:val="24"/>
        </w:rPr>
        <w:lastRenderedPageBreak/>
        <w:t>wine is symbolic or the body and blood of Christ</w:t>
      </w:r>
      <w:r w:rsidR="00085AD2">
        <w:rPr>
          <w:rStyle w:val="FootnoteReference"/>
          <w:sz w:val="24"/>
          <w:szCs w:val="24"/>
        </w:rPr>
        <w:footnoteReference w:id="17"/>
      </w:r>
      <w:r w:rsidR="00716D6F">
        <w:rPr>
          <w:rFonts w:cs="Times New Roman"/>
          <w:sz w:val="24"/>
          <w:szCs w:val="24"/>
        </w:rPr>
        <w:t xml:space="preserve">.  </w:t>
      </w:r>
      <w:r w:rsidR="00085AD2">
        <w:rPr>
          <w:rFonts w:cs="Times New Roman"/>
          <w:sz w:val="24"/>
          <w:szCs w:val="24"/>
        </w:rPr>
        <w:t>This scene would have been used to help correlate the biblical scene to the indigenous converts, showing the meaning behind the Eucharist and the importance of Christ’s death for the salvation of their sins.</w:t>
      </w:r>
    </w:p>
    <w:p w:rsidR="00994110" w:rsidRDefault="00994110" w:rsidP="00731B68">
      <w:pPr>
        <w:spacing w:after="0" w:line="480" w:lineRule="auto"/>
        <w:rPr>
          <w:rFonts w:cs="Times New Roman"/>
          <w:sz w:val="24"/>
          <w:szCs w:val="24"/>
        </w:rPr>
      </w:pPr>
      <w:r>
        <w:rPr>
          <w:rFonts w:cs="Times New Roman"/>
          <w:sz w:val="24"/>
          <w:szCs w:val="24"/>
        </w:rPr>
        <w:tab/>
        <w:t>The next image selected to be a part of the Cuzco School exhibit is “The Allegorical Flotilla of Salvation.” (Figure 5)  This piece is significant because it represents the rebellion of colonial cities against that of Spain and other European nations.</w:t>
      </w:r>
      <w:r>
        <w:rPr>
          <w:rStyle w:val="FootnoteReference"/>
          <w:sz w:val="24"/>
          <w:szCs w:val="24"/>
        </w:rPr>
        <w:footnoteReference w:id="18"/>
      </w:r>
      <w:r>
        <w:rPr>
          <w:rFonts w:cs="Times New Roman"/>
          <w:sz w:val="24"/>
          <w:szCs w:val="24"/>
        </w:rPr>
        <w:t xml:space="preserve">  </w:t>
      </w:r>
      <w:r w:rsidR="00ED4A06">
        <w:rPr>
          <w:rFonts w:cs="Times New Roman"/>
          <w:sz w:val="24"/>
          <w:szCs w:val="24"/>
        </w:rPr>
        <w:t>Many of the natives were not content with the Spanish governing body in Latin America, which caused a sense of unease in the colonies.  Many of the indigenous, because they had converted to Christianity, believed that it Christ’s plan that they be saved.</w:t>
      </w:r>
      <w:r w:rsidR="00ED4A06">
        <w:rPr>
          <w:rStyle w:val="FootnoteReference"/>
          <w:sz w:val="24"/>
          <w:szCs w:val="24"/>
        </w:rPr>
        <w:footnoteReference w:id="19"/>
      </w:r>
      <w:r w:rsidR="00ED4A06">
        <w:rPr>
          <w:rFonts w:cs="Times New Roman"/>
          <w:sz w:val="24"/>
          <w:szCs w:val="24"/>
        </w:rPr>
        <w:t xml:space="preserve">  Hence, the image of the allegorical flotilla is seen as a representation of this belief.  Christ is seen on the crucifix on the central ship and then again as he would appear in the heavens.  To the right, the ship carries the Virgin and Child; and to the left, the ship carries Saint Rose of Lima.</w:t>
      </w:r>
      <w:r w:rsidR="00ED4A06">
        <w:rPr>
          <w:rStyle w:val="FootnoteReference"/>
          <w:sz w:val="24"/>
          <w:szCs w:val="24"/>
        </w:rPr>
        <w:footnoteReference w:id="20"/>
      </w:r>
      <w:r w:rsidR="00ED4A06">
        <w:rPr>
          <w:rFonts w:cs="Times New Roman"/>
          <w:sz w:val="24"/>
          <w:szCs w:val="24"/>
        </w:rPr>
        <w:t xml:space="preserve">  Each of these figures holds an important religious status, and is meant to show that God has agreed that the natives should be saved.  </w:t>
      </w:r>
    </w:p>
    <w:p w:rsidR="00B96CF4" w:rsidRPr="00902256" w:rsidRDefault="00B96CF4" w:rsidP="00731B68">
      <w:pPr>
        <w:spacing w:after="0" w:line="480" w:lineRule="auto"/>
        <w:rPr>
          <w:rFonts w:cs="Times New Roman"/>
          <w:sz w:val="24"/>
          <w:szCs w:val="24"/>
        </w:rPr>
      </w:pPr>
      <w:r>
        <w:rPr>
          <w:rFonts w:cs="Times New Roman"/>
          <w:sz w:val="24"/>
          <w:szCs w:val="24"/>
        </w:rPr>
        <w:tab/>
        <w:t xml:space="preserve">While many of the pieces done in the Cuzco School were of religious imagery, there were others that depicted the </w:t>
      </w:r>
      <w:r w:rsidR="003157BE">
        <w:rPr>
          <w:rFonts w:cs="Times New Roman"/>
          <w:sz w:val="24"/>
          <w:szCs w:val="24"/>
        </w:rPr>
        <w:t xml:space="preserve">colonization of the Incan peoples.  Specifically, these paintings were often created to show the inclusion of natives into the world of the Spaniards.  In a painting done </w:t>
      </w:r>
      <w:r w:rsidR="00DA52CC">
        <w:rPr>
          <w:rFonts w:cs="Times New Roman"/>
          <w:sz w:val="24"/>
          <w:szCs w:val="24"/>
        </w:rPr>
        <w:t xml:space="preserve">in the Jesuit Church, </w:t>
      </w:r>
      <w:proofErr w:type="spellStart"/>
      <w:r w:rsidR="00DA52CC">
        <w:rPr>
          <w:rFonts w:cs="Times New Roman"/>
          <w:sz w:val="24"/>
          <w:szCs w:val="24"/>
        </w:rPr>
        <w:t>Iglesia</w:t>
      </w:r>
      <w:proofErr w:type="spellEnd"/>
      <w:r w:rsidR="00DA52CC">
        <w:rPr>
          <w:rFonts w:cs="Times New Roman"/>
          <w:sz w:val="24"/>
          <w:szCs w:val="24"/>
        </w:rPr>
        <w:t xml:space="preserve"> de la </w:t>
      </w:r>
      <w:proofErr w:type="spellStart"/>
      <w:r w:rsidR="00DA52CC">
        <w:rPr>
          <w:rFonts w:cs="Times New Roman"/>
          <w:sz w:val="24"/>
          <w:szCs w:val="24"/>
        </w:rPr>
        <w:t>Compania</w:t>
      </w:r>
      <w:proofErr w:type="spellEnd"/>
      <w:r w:rsidR="00DA52CC">
        <w:rPr>
          <w:rFonts w:cs="Times New Roman"/>
          <w:sz w:val="24"/>
          <w:szCs w:val="24"/>
        </w:rPr>
        <w:t>, the artist depicts the marriage of an Inca Princess and a Spanish Captain.</w:t>
      </w:r>
      <w:r w:rsidR="00602D22">
        <w:rPr>
          <w:rStyle w:val="FootnoteReference"/>
          <w:sz w:val="24"/>
          <w:szCs w:val="24"/>
        </w:rPr>
        <w:footnoteReference w:id="21"/>
      </w:r>
      <w:r w:rsidR="00DA52CC">
        <w:rPr>
          <w:rFonts w:cs="Times New Roman"/>
          <w:sz w:val="24"/>
          <w:szCs w:val="24"/>
        </w:rPr>
        <w:t xml:space="preserve"> (Figures 6.1 and 6.2)</w:t>
      </w:r>
      <w:r w:rsidR="00602D22">
        <w:rPr>
          <w:rFonts w:cs="Times New Roman"/>
          <w:sz w:val="24"/>
          <w:szCs w:val="24"/>
        </w:rPr>
        <w:t xml:space="preserve">  This scene shows how the original Spanish colonists wanted to incorporate the natives into their culture by marrying them.  Thus, </w:t>
      </w:r>
      <w:r w:rsidR="00602D22">
        <w:rPr>
          <w:rFonts w:cs="Times New Roman"/>
          <w:sz w:val="24"/>
          <w:szCs w:val="24"/>
        </w:rPr>
        <w:lastRenderedPageBreak/>
        <w:t>the indigenous peoples are shown in their native dress, whereas the Spanish are garbed in the European fashion.  However, the Inca Princess is shown wearing the style favored by the Spani</w:t>
      </w:r>
      <w:r w:rsidR="00753332">
        <w:rPr>
          <w:rFonts w:cs="Times New Roman"/>
          <w:sz w:val="24"/>
          <w:szCs w:val="24"/>
        </w:rPr>
        <w:t>ards</w:t>
      </w:r>
      <w:r w:rsidR="00602D22">
        <w:rPr>
          <w:rFonts w:cs="Times New Roman"/>
          <w:sz w:val="24"/>
          <w:szCs w:val="24"/>
        </w:rPr>
        <w:t xml:space="preserve">, conveying the idea that these people could be </w:t>
      </w:r>
      <w:r w:rsidR="00B57F57">
        <w:rPr>
          <w:rFonts w:cs="Times New Roman"/>
          <w:sz w:val="24"/>
          <w:szCs w:val="24"/>
        </w:rPr>
        <w:t>could be integrated into the Spanish culture.</w:t>
      </w:r>
      <w:r w:rsidR="00753332">
        <w:rPr>
          <w:rFonts w:cs="Times New Roman"/>
          <w:sz w:val="24"/>
          <w:szCs w:val="24"/>
        </w:rPr>
        <w:t xml:space="preserve">  It was also a common practice to include both indigenous peoples and those of European descent in a painting to show that the two people could live in harmony with one another.</w:t>
      </w:r>
      <w:r w:rsidR="00753332">
        <w:rPr>
          <w:rStyle w:val="FootnoteReference"/>
          <w:sz w:val="24"/>
          <w:szCs w:val="24"/>
        </w:rPr>
        <w:footnoteReference w:id="22"/>
      </w:r>
      <w:r w:rsidR="00FC2B12">
        <w:rPr>
          <w:rFonts w:cs="Times New Roman"/>
          <w:sz w:val="24"/>
          <w:szCs w:val="24"/>
        </w:rPr>
        <w:t xml:space="preserve">  </w:t>
      </w:r>
      <w:proofErr w:type="gramStart"/>
      <w:r w:rsidR="00FC2B12">
        <w:rPr>
          <w:rFonts w:cs="Times New Roman"/>
          <w:sz w:val="24"/>
          <w:szCs w:val="24"/>
        </w:rPr>
        <w:t>Thus, making this piece a primary example of the interrelations between the Inca civilizations and the Spanish colonists, as portrayed through the Cuzco artists.</w:t>
      </w:r>
      <w:proofErr w:type="gramEnd"/>
      <w:r w:rsidR="00740E23">
        <w:rPr>
          <w:rFonts w:cs="Times New Roman"/>
          <w:sz w:val="24"/>
          <w:szCs w:val="24"/>
        </w:rPr>
        <w:t xml:space="preserve">  </w:t>
      </w:r>
    </w:p>
    <w:p w:rsidR="0012093A" w:rsidRPr="00902256" w:rsidRDefault="0012093A" w:rsidP="004F5FF6">
      <w:pPr>
        <w:spacing w:after="0" w:line="480" w:lineRule="auto"/>
        <w:ind w:firstLine="720"/>
        <w:rPr>
          <w:rFonts w:cs="Times New Roman"/>
          <w:sz w:val="24"/>
          <w:szCs w:val="24"/>
        </w:rPr>
      </w:pPr>
      <w:r w:rsidRPr="00902256">
        <w:rPr>
          <w:rFonts w:cs="Times New Roman"/>
          <w:sz w:val="24"/>
          <w:szCs w:val="24"/>
        </w:rPr>
        <w:t xml:space="preserve">I hope that you deeply consider this exhibit proposal as part of a display on </w:t>
      </w:r>
      <w:r w:rsidR="004F5FF6">
        <w:rPr>
          <w:rFonts w:cs="Times New Roman"/>
          <w:sz w:val="24"/>
          <w:szCs w:val="24"/>
        </w:rPr>
        <w:t>Colonial Latin American art</w:t>
      </w:r>
      <w:r w:rsidRPr="00902256">
        <w:rPr>
          <w:rFonts w:cs="Times New Roman"/>
          <w:sz w:val="24"/>
          <w:szCs w:val="24"/>
        </w:rPr>
        <w:t xml:space="preserve"> focusing on that of the</w:t>
      </w:r>
      <w:r w:rsidR="004F5FF6">
        <w:rPr>
          <w:rFonts w:cs="Times New Roman"/>
          <w:sz w:val="24"/>
          <w:szCs w:val="24"/>
        </w:rPr>
        <w:t xml:space="preserve"> paintings of the</w:t>
      </w:r>
      <w:r w:rsidRPr="00902256">
        <w:rPr>
          <w:rFonts w:cs="Times New Roman"/>
          <w:sz w:val="24"/>
          <w:szCs w:val="24"/>
        </w:rPr>
        <w:t xml:space="preserve"> </w:t>
      </w:r>
      <w:r w:rsidR="004F5FF6">
        <w:rPr>
          <w:rFonts w:cs="Times New Roman"/>
          <w:sz w:val="24"/>
          <w:szCs w:val="24"/>
        </w:rPr>
        <w:t>Cuzco School during the eighteenth century</w:t>
      </w:r>
      <w:r w:rsidRPr="00902256">
        <w:rPr>
          <w:rFonts w:cs="Times New Roman"/>
          <w:sz w:val="24"/>
          <w:szCs w:val="24"/>
        </w:rPr>
        <w:t xml:space="preserve">.  I believe that this </w:t>
      </w:r>
      <w:r w:rsidR="004F5FF6" w:rsidRPr="00902256">
        <w:rPr>
          <w:rFonts w:cs="Times New Roman"/>
          <w:sz w:val="24"/>
          <w:szCs w:val="24"/>
        </w:rPr>
        <w:t>assortment</w:t>
      </w:r>
      <w:r w:rsidRPr="00902256">
        <w:rPr>
          <w:rFonts w:cs="Times New Roman"/>
          <w:sz w:val="24"/>
          <w:szCs w:val="24"/>
        </w:rPr>
        <w:t xml:space="preserve"> would aptly fulfill a </w:t>
      </w:r>
      <w:r w:rsidR="004F5FF6">
        <w:rPr>
          <w:rFonts w:cs="Times New Roman"/>
          <w:sz w:val="24"/>
          <w:szCs w:val="24"/>
        </w:rPr>
        <w:t>section</w:t>
      </w:r>
      <w:r w:rsidRPr="00902256">
        <w:rPr>
          <w:rFonts w:cs="Times New Roman"/>
          <w:sz w:val="24"/>
          <w:szCs w:val="24"/>
        </w:rPr>
        <w:t xml:space="preserve"> dedicated to the</w:t>
      </w:r>
      <w:r w:rsidR="004F5FF6">
        <w:rPr>
          <w:rFonts w:cs="Times New Roman"/>
          <w:sz w:val="24"/>
          <w:szCs w:val="24"/>
        </w:rPr>
        <w:t xml:space="preserve"> paintings done by these artists</w:t>
      </w:r>
      <w:r w:rsidRPr="00902256">
        <w:rPr>
          <w:rFonts w:cs="Times New Roman"/>
          <w:sz w:val="24"/>
          <w:szCs w:val="24"/>
        </w:rPr>
        <w:t>, encompassing a variety of examples</w:t>
      </w:r>
      <w:r w:rsidR="004F5FF6">
        <w:rPr>
          <w:rFonts w:cs="Times New Roman"/>
          <w:sz w:val="24"/>
          <w:szCs w:val="24"/>
        </w:rPr>
        <w:t xml:space="preserve"> in both style and context</w:t>
      </w:r>
      <w:r w:rsidRPr="00902256">
        <w:rPr>
          <w:rFonts w:cs="Times New Roman"/>
          <w:sz w:val="24"/>
          <w:szCs w:val="24"/>
        </w:rPr>
        <w:t xml:space="preserve">.  Each piece was specially chosen to </w:t>
      </w:r>
      <w:r w:rsidR="004F5FF6">
        <w:rPr>
          <w:rFonts w:cs="Times New Roman"/>
          <w:sz w:val="24"/>
          <w:szCs w:val="24"/>
        </w:rPr>
        <w:t xml:space="preserve">represent a different aspect of art produced in the Cuzco School, </w:t>
      </w:r>
      <w:r w:rsidRPr="00902256">
        <w:rPr>
          <w:rFonts w:cs="Times New Roman"/>
          <w:sz w:val="24"/>
          <w:szCs w:val="24"/>
        </w:rPr>
        <w:t xml:space="preserve">and would help </w:t>
      </w:r>
      <w:r w:rsidR="00BE2DB0" w:rsidRPr="00902256">
        <w:rPr>
          <w:rFonts w:cs="Times New Roman"/>
          <w:sz w:val="24"/>
          <w:szCs w:val="24"/>
        </w:rPr>
        <w:t xml:space="preserve">any viewer of the exhibit to have a better understanding of </w:t>
      </w:r>
      <w:r w:rsidR="004F5FF6">
        <w:rPr>
          <w:rFonts w:cs="Times New Roman"/>
          <w:sz w:val="24"/>
          <w:szCs w:val="24"/>
        </w:rPr>
        <w:t>the</w:t>
      </w:r>
      <w:r w:rsidR="00BE2DB0" w:rsidRPr="00902256">
        <w:rPr>
          <w:rFonts w:cs="Times New Roman"/>
          <w:sz w:val="24"/>
          <w:szCs w:val="24"/>
        </w:rPr>
        <w:t xml:space="preserve"> aesthetics</w:t>
      </w:r>
      <w:r w:rsidR="004F5FF6">
        <w:rPr>
          <w:rFonts w:cs="Times New Roman"/>
          <w:sz w:val="24"/>
          <w:szCs w:val="24"/>
        </w:rPr>
        <w:t xml:space="preserve"> used by natives to create religious</w:t>
      </w:r>
      <w:r w:rsidR="00BE2DB0" w:rsidRPr="00902256">
        <w:rPr>
          <w:rFonts w:cs="Times New Roman"/>
          <w:sz w:val="24"/>
          <w:szCs w:val="24"/>
        </w:rPr>
        <w:t xml:space="preserve"> </w:t>
      </w:r>
      <w:r w:rsidR="004F5FF6">
        <w:rPr>
          <w:rFonts w:cs="Times New Roman"/>
          <w:sz w:val="24"/>
          <w:szCs w:val="24"/>
        </w:rPr>
        <w:t>pieces in Colonial Latin America</w:t>
      </w:r>
      <w:r w:rsidR="00BE2DB0" w:rsidRPr="00902256">
        <w:rPr>
          <w:rFonts w:cs="Times New Roman"/>
          <w:sz w:val="24"/>
          <w:szCs w:val="24"/>
        </w:rPr>
        <w:t xml:space="preserve">.  </w:t>
      </w:r>
    </w:p>
    <w:p w:rsidR="0012093A" w:rsidRPr="00902256" w:rsidRDefault="0012093A" w:rsidP="0012093A">
      <w:pPr>
        <w:spacing w:after="0" w:line="480" w:lineRule="auto"/>
        <w:rPr>
          <w:rFonts w:cs="Times New Roman"/>
          <w:sz w:val="24"/>
          <w:szCs w:val="24"/>
        </w:rPr>
      </w:pPr>
    </w:p>
    <w:p w:rsidR="009720A0" w:rsidRPr="00902256" w:rsidRDefault="0012093A" w:rsidP="009720A0">
      <w:pPr>
        <w:spacing w:after="0" w:line="240" w:lineRule="auto"/>
        <w:rPr>
          <w:rFonts w:cs="Times New Roman"/>
          <w:sz w:val="24"/>
          <w:szCs w:val="24"/>
        </w:rPr>
      </w:pPr>
      <w:r w:rsidRPr="00902256">
        <w:rPr>
          <w:rFonts w:cs="Times New Roman"/>
          <w:sz w:val="24"/>
          <w:szCs w:val="24"/>
        </w:rPr>
        <w:t>Sincerely,</w:t>
      </w:r>
    </w:p>
    <w:p w:rsidR="00881A67" w:rsidRDefault="0012093A" w:rsidP="009720A0">
      <w:pPr>
        <w:spacing w:after="0" w:line="240" w:lineRule="auto"/>
        <w:rPr>
          <w:rFonts w:cs="Times New Roman"/>
          <w:sz w:val="24"/>
          <w:szCs w:val="24"/>
        </w:rPr>
      </w:pPr>
      <w:r w:rsidRPr="00902256">
        <w:rPr>
          <w:rFonts w:cs="Times New Roman"/>
          <w:sz w:val="24"/>
          <w:szCs w:val="24"/>
        </w:rPr>
        <w:t>Emily Marie Sovey</w:t>
      </w:r>
    </w:p>
    <w:p w:rsidR="00ED4A06" w:rsidRDefault="00ED4A06" w:rsidP="009720A0">
      <w:pPr>
        <w:spacing w:after="0" w:line="240" w:lineRule="auto"/>
        <w:rPr>
          <w:rFonts w:cs="Times New Roman"/>
          <w:sz w:val="24"/>
          <w:szCs w:val="24"/>
        </w:rPr>
      </w:pPr>
    </w:p>
    <w:p w:rsidR="00ED4A06" w:rsidRDefault="00ED4A06" w:rsidP="009720A0">
      <w:pPr>
        <w:spacing w:after="0" w:line="240" w:lineRule="auto"/>
        <w:rPr>
          <w:rFonts w:cs="Times New Roman"/>
          <w:sz w:val="24"/>
          <w:szCs w:val="24"/>
        </w:rPr>
      </w:pPr>
    </w:p>
    <w:p w:rsidR="00ED4A06" w:rsidRDefault="00ED4A06" w:rsidP="009720A0">
      <w:pPr>
        <w:spacing w:after="0" w:line="240" w:lineRule="auto"/>
        <w:rPr>
          <w:rFonts w:cs="Times New Roman"/>
          <w:sz w:val="24"/>
          <w:szCs w:val="24"/>
        </w:rPr>
      </w:pPr>
    </w:p>
    <w:p w:rsidR="00ED4A06" w:rsidRDefault="00ED4A06" w:rsidP="009720A0">
      <w:pPr>
        <w:spacing w:after="0" w:line="240" w:lineRule="auto"/>
        <w:rPr>
          <w:rFonts w:cs="Times New Roman"/>
          <w:sz w:val="24"/>
          <w:szCs w:val="24"/>
        </w:rPr>
      </w:pPr>
    </w:p>
    <w:p w:rsidR="00ED4A06" w:rsidRDefault="00ED4A06" w:rsidP="009720A0">
      <w:pPr>
        <w:spacing w:after="0" w:line="240" w:lineRule="auto"/>
        <w:rPr>
          <w:rFonts w:cs="Times New Roman"/>
          <w:sz w:val="24"/>
          <w:szCs w:val="24"/>
        </w:rPr>
      </w:pPr>
    </w:p>
    <w:p w:rsidR="00ED4A06" w:rsidRDefault="00ED4A06" w:rsidP="009720A0">
      <w:pPr>
        <w:spacing w:after="0" w:line="240" w:lineRule="auto"/>
        <w:rPr>
          <w:rFonts w:cs="Times New Roman"/>
          <w:sz w:val="24"/>
          <w:szCs w:val="24"/>
        </w:rPr>
      </w:pPr>
    </w:p>
    <w:p w:rsidR="00ED4A06" w:rsidRDefault="00ED4A06" w:rsidP="009720A0">
      <w:pPr>
        <w:spacing w:after="0" w:line="240" w:lineRule="auto"/>
        <w:rPr>
          <w:rFonts w:cs="Times New Roman"/>
          <w:sz w:val="24"/>
          <w:szCs w:val="24"/>
        </w:rPr>
      </w:pPr>
    </w:p>
    <w:p w:rsidR="00ED4A06" w:rsidRDefault="00ED4A06" w:rsidP="009720A0">
      <w:pPr>
        <w:spacing w:after="0" w:line="240" w:lineRule="auto"/>
        <w:rPr>
          <w:rFonts w:cs="Times New Roman"/>
          <w:sz w:val="24"/>
          <w:szCs w:val="24"/>
        </w:rPr>
      </w:pPr>
    </w:p>
    <w:p w:rsidR="00C94104" w:rsidRPr="00902256" w:rsidRDefault="00C94104" w:rsidP="009720A0">
      <w:pPr>
        <w:spacing w:after="0" w:line="240" w:lineRule="auto"/>
        <w:rPr>
          <w:rFonts w:cs="Times New Roman"/>
          <w:sz w:val="24"/>
          <w:szCs w:val="24"/>
        </w:rPr>
      </w:pPr>
    </w:p>
    <w:p w:rsidR="001F57AA" w:rsidRPr="00902256" w:rsidRDefault="009720A0" w:rsidP="001F57AA">
      <w:pPr>
        <w:spacing w:after="0" w:line="480" w:lineRule="auto"/>
        <w:rPr>
          <w:rFonts w:cs="Times New Roman"/>
          <w:sz w:val="24"/>
          <w:szCs w:val="24"/>
          <w:u w:val="single"/>
        </w:rPr>
      </w:pPr>
      <w:r w:rsidRPr="00902256">
        <w:rPr>
          <w:rFonts w:cs="Times New Roman"/>
          <w:sz w:val="24"/>
          <w:szCs w:val="24"/>
          <w:u w:val="single"/>
        </w:rPr>
        <w:lastRenderedPageBreak/>
        <w:t>IMAGE INDEX</w:t>
      </w:r>
      <w:r w:rsidR="001F57AA" w:rsidRPr="00902256">
        <w:rPr>
          <w:rFonts w:cs="Times New Roman"/>
          <w:sz w:val="24"/>
          <w:szCs w:val="24"/>
          <w:u w:val="single"/>
        </w:rPr>
        <w:t>:</w:t>
      </w:r>
    </w:p>
    <w:p w:rsidR="007A367D" w:rsidRPr="00902256" w:rsidRDefault="007A367D" w:rsidP="007A367D">
      <w:pPr>
        <w:spacing w:after="0" w:line="240" w:lineRule="auto"/>
        <w:rPr>
          <w:sz w:val="24"/>
          <w:szCs w:val="24"/>
        </w:rPr>
      </w:pPr>
      <w:r w:rsidRPr="00902256">
        <w:rPr>
          <w:noProof/>
          <w:sz w:val="24"/>
          <w:szCs w:val="24"/>
        </w:rPr>
        <w:drawing>
          <wp:inline distT="0" distB="0" distL="0" distR="0" wp14:anchorId="32D3EDF6" wp14:editId="075CC532">
            <wp:extent cx="2178358" cy="3105150"/>
            <wp:effectExtent l="0" t="0" r="0" b="0"/>
            <wp:docPr id="8" name="Picture 8" descr="http://image.artfact.com/housePhotos/sloankenyon/30/302330/H1039-L2155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artfact.com/housePhotos/sloankenyon/30/302330/H1039-L215552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8358" cy="3105150"/>
                    </a:xfrm>
                    <a:prstGeom prst="rect">
                      <a:avLst/>
                    </a:prstGeom>
                    <a:noFill/>
                    <a:ln>
                      <a:noFill/>
                    </a:ln>
                  </pic:spPr>
                </pic:pic>
              </a:graphicData>
            </a:graphic>
          </wp:inline>
        </w:drawing>
      </w:r>
      <w:r w:rsidR="00071410" w:rsidRPr="00902256">
        <w:rPr>
          <w:sz w:val="24"/>
          <w:szCs w:val="24"/>
        </w:rPr>
        <w:br w:type="textWrapping" w:clear="all"/>
      </w:r>
      <w:r w:rsidR="00D06CB3" w:rsidRPr="00902256">
        <w:rPr>
          <w:sz w:val="24"/>
          <w:szCs w:val="24"/>
        </w:rPr>
        <w:t xml:space="preserve">Figure 1: Virgin </w:t>
      </w:r>
      <w:r w:rsidRPr="00902256">
        <w:rPr>
          <w:sz w:val="24"/>
          <w:szCs w:val="24"/>
        </w:rPr>
        <w:t>of Bethlehem</w:t>
      </w:r>
      <w:r w:rsidR="00D06CB3" w:rsidRPr="00902256">
        <w:rPr>
          <w:sz w:val="24"/>
          <w:szCs w:val="24"/>
        </w:rPr>
        <w:t xml:space="preserve">, </w:t>
      </w:r>
      <w:r w:rsidRPr="00902256">
        <w:rPr>
          <w:sz w:val="24"/>
          <w:szCs w:val="24"/>
        </w:rPr>
        <w:t>Cuzco School, Oil on Canvas, Lima Museum of Art, 1770.</w:t>
      </w:r>
    </w:p>
    <w:p w:rsidR="007B5EE6" w:rsidRPr="00902256" w:rsidRDefault="00245970" w:rsidP="007A367D">
      <w:pPr>
        <w:spacing w:after="0" w:line="240" w:lineRule="auto"/>
        <w:rPr>
          <w:sz w:val="24"/>
          <w:szCs w:val="24"/>
        </w:rPr>
      </w:pPr>
      <w:hyperlink r:id="rId10" w:history="1">
        <w:r w:rsidR="007B5EE6" w:rsidRPr="00902256">
          <w:rPr>
            <w:rStyle w:val="Hyperlink"/>
            <w:rFonts w:cstheme="minorBidi"/>
            <w:sz w:val="24"/>
            <w:szCs w:val="24"/>
          </w:rPr>
          <w:t>http://www.artfact.com/auction-lot/cuzco-school-18th-century-.-our-lady-of-bethlehe-1-c-bb93a1847</w:t>
        </w:r>
      </w:hyperlink>
    </w:p>
    <w:p w:rsidR="007A367D" w:rsidRPr="00902256" w:rsidRDefault="007A367D" w:rsidP="007A367D">
      <w:pPr>
        <w:spacing w:after="0" w:line="240" w:lineRule="auto"/>
        <w:rPr>
          <w:sz w:val="24"/>
          <w:szCs w:val="24"/>
        </w:rPr>
      </w:pPr>
    </w:p>
    <w:p w:rsidR="00D06CB3" w:rsidRPr="00902256" w:rsidRDefault="007B5EE6">
      <w:pPr>
        <w:rPr>
          <w:sz w:val="24"/>
          <w:szCs w:val="24"/>
        </w:rPr>
      </w:pPr>
      <w:r w:rsidRPr="00902256">
        <w:rPr>
          <w:noProof/>
          <w:sz w:val="24"/>
          <w:szCs w:val="24"/>
        </w:rPr>
        <w:drawing>
          <wp:inline distT="0" distB="0" distL="0" distR="0" wp14:anchorId="0D05C5F1" wp14:editId="31875990">
            <wp:extent cx="2230676" cy="2990850"/>
            <wp:effectExtent l="0" t="0" r="0" b="0"/>
            <wp:docPr id="12" name="Picture 12" descr="Saint Joseph and the Christ Child by the Cuzc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int Joseph and the Christ Child by the Cuzco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8277" cy="3001041"/>
                    </a:xfrm>
                    <a:prstGeom prst="rect">
                      <a:avLst/>
                    </a:prstGeom>
                    <a:noFill/>
                    <a:ln>
                      <a:noFill/>
                    </a:ln>
                  </pic:spPr>
                </pic:pic>
              </a:graphicData>
            </a:graphic>
          </wp:inline>
        </w:drawing>
      </w:r>
    </w:p>
    <w:p w:rsidR="00FD01CA" w:rsidRDefault="00D06CB3">
      <w:pPr>
        <w:rPr>
          <w:rStyle w:val="Hyperlink"/>
          <w:rFonts w:cstheme="minorBidi"/>
          <w:sz w:val="24"/>
          <w:szCs w:val="24"/>
        </w:rPr>
      </w:pPr>
      <w:r w:rsidRPr="00902256">
        <w:rPr>
          <w:sz w:val="24"/>
          <w:szCs w:val="24"/>
        </w:rPr>
        <w:t xml:space="preserve">Figure 2: </w:t>
      </w:r>
      <w:r w:rsidR="007B5EE6" w:rsidRPr="00902256">
        <w:rPr>
          <w:sz w:val="24"/>
          <w:szCs w:val="24"/>
        </w:rPr>
        <w:t>Saint Joseph and the Christ Child</w:t>
      </w:r>
      <w:r w:rsidRPr="00902256">
        <w:rPr>
          <w:sz w:val="24"/>
          <w:szCs w:val="24"/>
        </w:rPr>
        <w:t xml:space="preserve">, </w:t>
      </w:r>
      <w:r w:rsidR="007B5EE6" w:rsidRPr="00902256">
        <w:rPr>
          <w:sz w:val="24"/>
          <w:szCs w:val="24"/>
        </w:rPr>
        <w:t xml:space="preserve">Cuzco School, 1799. </w:t>
      </w:r>
      <w:hyperlink r:id="rId12" w:history="1">
        <w:r w:rsidRPr="00902256">
          <w:rPr>
            <w:rStyle w:val="Hyperlink"/>
            <w:rFonts w:cstheme="minorBidi"/>
            <w:sz w:val="24"/>
            <w:szCs w:val="24"/>
          </w:rPr>
          <w:t>http://content.lib.washington.edu/cdm4/item_viewer.php?CISOROOT=/buildings&amp;CISOPTR=13532&amp;CISOBOX=1&amp;REC=1</w:t>
        </w:r>
      </w:hyperlink>
    </w:p>
    <w:p w:rsidR="00FC2B12" w:rsidRPr="00902256" w:rsidRDefault="00FC2B12" w:rsidP="00FC2B12">
      <w:pPr>
        <w:spacing w:after="0"/>
        <w:rPr>
          <w:sz w:val="24"/>
          <w:szCs w:val="24"/>
        </w:rPr>
      </w:pPr>
      <w:r w:rsidRPr="00902256">
        <w:rPr>
          <w:noProof/>
          <w:sz w:val="24"/>
          <w:szCs w:val="24"/>
        </w:rPr>
        <w:lastRenderedPageBreak/>
        <w:drawing>
          <wp:inline distT="0" distB="0" distL="0" distR="0" wp14:anchorId="70B7920B" wp14:editId="4D6AA436">
            <wp:extent cx="3505200" cy="3505200"/>
            <wp:effectExtent l="0" t="0" r="0" b="0"/>
            <wp:docPr id="16" name="Picture 16" descr="Cuzco School, 18th Century The Last Jud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zco School, 18th Century The Last Judg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5200" cy="3505200"/>
                    </a:xfrm>
                    <a:prstGeom prst="rect">
                      <a:avLst/>
                    </a:prstGeom>
                    <a:noFill/>
                    <a:ln>
                      <a:noFill/>
                    </a:ln>
                  </pic:spPr>
                </pic:pic>
              </a:graphicData>
            </a:graphic>
          </wp:inline>
        </w:drawing>
      </w:r>
    </w:p>
    <w:p w:rsidR="00FC2B12" w:rsidRPr="00902256" w:rsidRDefault="00FC2B12" w:rsidP="00FC2B12">
      <w:pPr>
        <w:spacing w:after="0"/>
        <w:rPr>
          <w:sz w:val="24"/>
          <w:szCs w:val="24"/>
        </w:rPr>
      </w:pPr>
    </w:p>
    <w:p w:rsidR="00FC2B12" w:rsidRPr="00902256" w:rsidRDefault="00FC2B12" w:rsidP="00FC2B12">
      <w:pPr>
        <w:spacing w:after="0"/>
        <w:rPr>
          <w:sz w:val="24"/>
          <w:szCs w:val="24"/>
        </w:rPr>
      </w:pPr>
      <w:r w:rsidRPr="00902256">
        <w:rPr>
          <w:sz w:val="24"/>
          <w:szCs w:val="24"/>
        </w:rPr>
        <w:t xml:space="preserve">Figure </w:t>
      </w:r>
      <w:r>
        <w:rPr>
          <w:sz w:val="24"/>
          <w:szCs w:val="24"/>
        </w:rPr>
        <w:t>3</w:t>
      </w:r>
      <w:r w:rsidRPr="00902256">
        <w:rPr>
          <w:sz w:val="24"/>
          <w:szCs w:val="24"/>
        </w:rPr>
        <w:t>: The Last Judgment, Oil on Panel, Cuzco School, 18</w:t>
      </w:r>
      <w:r w:rsidRPr="00902256">
        <w:rPr>
          <w:sz w:val="24"/>
          <w:szCs w:val="24"/>
          <w:vertAlign w:val="superscript"/>
        </w:rPr>
        <w:t>th</w:t>
      </w:r>
      <w:r w:rsidRPr="00902256">
        <w:rPr>
          <w:sz w:val="24"/>
          <w:szCs w:val="24"/>
        </w:rPr>
        <w:t xml:space="preserve"> Century.</w:t>
      </w:r>
    </w:p>
    <w:p w:rsidR="00FC2B12" w:rsidRPr="00902256" w:rsidRDefault="00245970" w:rsidP="00FC2B12">
      <w:pPr>
        <w:spacing w:after="0"/>
        <w:rPr>
          <w:rStyle w:val="Hyperlink"/>
          <w:rFonts w:cstheme="minorBidi"/>
          <w:sz w:val="24"/>
          <w:szCs w:val="24"/>
        </w:rPr>
      </w:pPr>
      <w:hyperlink r:id="rId14" w:history="1">
        <w:r w:rsidR="00FC2B12" w:rsidRPr="00902256">
          <w:rPr>
            <w:rStyle w:val="Hyperlink"/>
            <w:rFonts w:cstheme="minorBidi"/>
            <w:sz w:val="24"/>
            <w:szCs w:val="24"/>
          </w:rPr>
          <w:t>http://www.bonhams.com/auctions/17954/lot/113/</w:t>
        </w:r>
      </w:hyperlink>
    </w:p>
    <w:p w:rsidR="00FC2B12" w:rsidRPr="00902256" w:rsidRDefault="00FC2B12" w:rsidP="00FC2B12">
      <w:pPr>
        <w:spacing w:after="0"/>
        <w:rPr>
          <w:rStyle w:val="Hyperlink"/>
          <w:rFonts w:cstheme="minorBidi"/>
          <w:sz w:val="24"/>
          <w:szCs w:val="24"/>
        </w:rPr>
      </w:pPr>
    </w:p>
    <w:p w:rsidR="00FC2B12" w:rsidRPr="00902256" w:rsidRDefault="00FC2B12" w:rsidP="00FC2B12">
      <w:pPr>
        <w:spacing w:after="0"/>
        <w:rPr>
          <w:rStyle w:val="Hyperlink"/>
          <w:rFonts w:cstheme="minorBidi"/>
          <w:sz w:val="24"/>
          <w:szCs w:val="24"/>
        </w:rPr>
      </w:pPr>
      <w:r w:rsidRPr="00902256">
        <w:rPr>
          <w:noProof/>
          <w:sz w:val="24"/>
          <w:szCs w:val="24"/>
        </w:rPr>
        <w:drawing>
          <wp:inline distT="0" distB="0" distL="0" distR="0" wp14:anchorId="0F2A7AF8" wp14:editId="6BBC3D47">
            <wp:extent cx="4200733" cy="3038475"/>
            <wp:effectExtent l="0" t="0" r="9525" b="0"/>
            <wp:docPr id="1" name="Picture 1" descr="http://upload.wikimedia.org/wikipedia/commons/6/61/Marcos_Za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6/61/Marcos_Zapa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4010" cy="3040845"/>
                    </a:xfrm>
                    <a:prstGeom prst="rect">
                      <a:avLst/>
                    </a:prstGeom>
                    <a:noFill/>
                    <a:ln>
                      <a:noFill/>
                    </a:ln>
                  </pic:spPr>
                </pic:pic>
              </a:graphicData>
            </a:graphic>
          </wp:inline>
        </w:drawing>
      </w:r>
    </w:p>
    <w:p w:rsidR="00FC2B12" w:rsidRPr="00902256" w:rsidRDefault="00FC2B12" w:rsidP="00FC2B12">
      <w:pPr>
        <w:spacing w:after="0"/>
        <w:rPr>
          <w:sz w:val="24"/>
          <w:szCs w:val="24"/>
        </w:rPr>
      </w:pPr>
      <w:r w:rsidRPr="00902256">
        <w:rPr>
          <w:rStyle w:val="Hyperlink"/>
          <w:rFonts w:cstheme="minorBidi"/>
          <w:color w:val="auto"/>
          <w:sz w:val="24"/>
          <w:szCs w:val="24"/>
          <w:u w:val="none"/>
        </w:rPr>
        <w:t xml:space="preserve">Figure </w:t>
      </w:r>
      <w:r>
        <w:rPr>
          <w:rStyle w:val="Hyperlink"/>
          <w:rFonts w:cstheme="minorBidi"/>
          <w:color w:val="auto"/>
          <w:sz w:val="24"/>
          <w:szCs w:val="24"/>
          <w:u w:val="none"/>
        </w:rPr>
        <w:t>4</w:t>
      </w:r>
      <w:r w:rsidRPr="00902256">
        <w:rPr>
          <w:rStyle w:val="Hyperlink"/>
          <w:rFonts w:cstheme="minorBidi"/>
          <w:color w:val="auto"/>
          <w:sz w:val="24"/>
          <w:szCs w:val="24"/>
          <w:u w:val="none"/>
        </w:rPr>
        <w:t>: The Last Super, Marcos Zapata, Cuzco School, Cuzco Cathedral, 1764.</w:t>
      </w:r>
    </w:p>
    <w:p w:rsidR="00FC2B12" w:rsidRDefault="00245970" w:rsidP="00FC2B12">
      <w:pPr>
        <w:spacing w:after="0"/>
        <w:rPr>
          <w:rStyle w:val="Hyperlink"/>
          <w:rFonts w:cs="Arial"/>
          <w:sz w:val="24"/>
          <w:szCs w:val="24"/>
          <w:shd w:val="clear" w:color="auto" w:fill="F9F9F9"/>
        </w:rPr>
      </w:pPr>
      <w:hyperlink r:id="rId16" w:history="1">
        <w:r w:rsidR="00FC2B12" w:rsidRPr="002A2EEA">
          <w:rPr>
            <w:rStyle w:val="Hyperlink"/>
            <w:rFonts w:cs="Arial"/>
            <w:sz w:val="24"/>
            <w:szCs w:val="24"/>
            <w:shd w:val="clear" w:color="auto" w:fill="F9F9F9"/>
          </w:rPr>
          <w:t>www.delange.org/CathedralCusco/Dsc00099.jpg</w:t>
        </w:r>
      </w:hyperlink>
    </w:p>
    <w:p w:rsidR="00FC2B12" w:rsidRPr="00B96CF4" w:rsidRDefault="00FC2B12">
      <w:pPr>
        <w:rPr>
          <w:color w:val="0000FF"/>
          <w:sz w:val="24"/>
          <w:szCs w:val="24"/>
          <w:u w:val="single"/>
        </w:rPr>
      </w:pPr>
    </w:p>
    <w:p w:rsidR="001452CA" w:rsidRPr="00902256" w:rsidRDefault="001452CA" w:rsidP="001452CA">
      <w:pPr>
        <w:spacing w:after="0"/>
        <w:rPr>
          <w:sz w:val="24"/>
          <w:szCs w:val="24"/>
        </w:rPr>
      </w:pPr>
    </w:p>
    <w:p w:rsidR="00416515" w:rsidRPr="00902256" w:rsidRDefault="001452CA">
      <w:pPr>
        <w:rPr>
          <w:sz w:val="24"/>
          <w:szCs w:val="24"/>
        </w:rPr>
      </w:pPr>
      <w:r w:rsidRPr="00902256">
        <w:rPr>
          <w:noProof/>
          <w:sz w:val="24"/>
          <w:szCs w:val="24"/>
        </w:rPr>
        <w:drawing>
          <wp:inline distT="0" distB="0" distL="0" distR="0" wp14:anchorId="35F51860" wp14:editId="16B4DB17">
            <wp:extent cx="5962650" cy="2981325"/>
            <wp:effectExtent l="0" t="0" r="0" b="0"/>
            <wp:docPr id="15" name="Picture 15" descr="Peruvian, Cuzco School, 18th Century - Allegorical Flotilla of Sal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ruvian, Cuzco School, 18th Century - Allegorical Flotilla of Salv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2981325"/>
                    </a:xfrm>
                    <a:prstGeom prst="rect">
                      <a:avLst/>
                    </a:prstGeom>
                    <a:noFill/>
                    <a:ln>
                      <a:noFill/>
                    </a:ln>
                  </pic:spPr>
                </pic:pic>
              </a:graphicData>
            </a:graphic>
          </wp:inline>
        </w:drawing>
      </w:r>
    </w:p>
    <w:p w:rsidR="001452CA" w:rsidRPr="00902256" w:rsidRDefault="00B96CF4" w:rsidP="001452CA">
      <w:pPr>
        <w:spacing w:after="0"/>
        <w:rPr>
          <w:sz w:val="24"/>
          <w:szCs w:val="24"/>
        </w:rPr>
      </w:pPr>
      <w:r>
        <w:rPr>
          <w:sz w:val="24"/>
          <w:szCs w:val="24"/>
        </w:rPr>
        <w:t xml:space="preserve">Figure </w:t>
      </w:r>
      <w:r w:rsidR="00FC2B12">
        <w:rPr>
          <w:sz w:val="24"/>
          <w:szCs w:val="24"/>
        </w:rPr>
        <w:t>5</w:t>
      </w:r>
      <w:r w:rsidR="006E1A5F" w:rsidRPr="00902256">
        <w:rPr>
          <w:sz w:val="24"/>
          <w:szCs w:val="24"/>
        </w:rPr>
        <w:t>:</w:t>
      </w:r>
      <w:r w:rsidR="001452CA" w:rsidRPr="00902256">
        <w:rPr>
          <w:sz w:val="24"/>
          <w:szCs w:val="24"/>
        </w:rPr>
        <w:t xml:space="preserve"> Allegorical Flotilla of Salvation, Oil on Canvas, Cuzco School, 18</w:t>
      </w:r>
      <w:r w:rsidR="001452CA" w:rsidRPr="00902256">
        <w:rPr>
          <w:sz w:val="24"/>
          <w:szCs w:val="24"/>
          <w:vertAlign w:val="superscript"/>
        </w:rPr>
        <w:t>th</w:t>
      </w:r>
      <w:r w:rsidR="001452CA" w:rsidRPr="00902256">
        <w:rPr>
          <w:sz w:val="24"/>
          <w:szCs w:val="24"/>
        </w:rPr>
        <w:t xml:space="preserve"> Century.</w:t>
      </w:r>
    </w:p>
    <w:p w:rsidR="001452CA" w:rsidRDefault="00245970" w:rsidP="001452CA">
      <w:pPr>
        <w:spacing w:after="0"/>
        <w:rPr>
          <w:rStyle w:val="Hyperlink"/>
          <w:rFonts w:cstheme="minorBidi"/>
          <w:sz w:val="24"/>
          <w:szCs w:val="24"/>
        </w:rPr>
      </w:pPr>
      <w:hyperlink r:id="rId18" w:history="1">
        <w:r w:rsidR="001452CA" w:rsidRPr="00902256">
          <w:rPr>
            <w:rStyle w:val="Hyperlink"/>
            <w:rFonts w:cstheme="minorBidi"/>
            <w:sz w:val="24"/>
            <w:szCs w:val="24"/>
          </w:rPr>
          <w:t>http://www.pada.net/members/memPicFull.php/41/316</w:t>
        </w:r>
      </w:hyperlink>
    </w:p>
    <w:p w:rsidR="00902256" w:rsidRPr="00902256" w:rsidRDefault="00902256" w:rsidP="001452CA">
      <w:pPr>
        <w:spacing w:after="0"/>
        <w:rPr>
          <w:sz w:val="24"/>
          <w:szCs w:val="24"/>
        </w:rPr>
      </w:pPr>
    </w:p>
    <w:p w:rsidR="00B96CF4" w:rsidRPr="00902256" w:rsidRDefault="00B96CF4" w:rsidP="00B96CF4">
      <w:r w:rsidRPr="00902256">
        <w:rPr>
          <w:noProof/>
        </w:rPr>
        <w:drawing>
          <wp:inline distT="0" distB="0" distL="0" distR="0" wp14:anchorId="2502EB14" wp14:editId="7C012A51">
            <wp:extent cx="5105400" cy="2972477"/>
            <wp:effectExtent l="0" t="0" r="0" b="0"/>
            <wp:docPr id="10" name="Picture 10" descr="http://www.perutourism.com/newsletter2/images/prince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erutourism.com/newsletter2/images/princesa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2972477"/>
                    </a:xfrm>
                    <a:prstGeom prst="rect">
                      <a:avLst/>
                    </a:prstGeom>
                    <a:noFill/>
                    <a:ln>
                      <a:noFill/>
                    </a:ln>
                  </pic:spPr>
                </pic:pic>
              </a:graphicData>
            </a:graphic>
          </wp:inline>
        </w:drawing>
      </w:r>
    </w:p>
    <w:p w:rsidR="00B96CF4" w:rsidRPr="00902256" w:rsidRDefault="00B96CF4" w:rsidP="00B96CF4">
      <w:pPr>
        <w:spacing w:after="0" w:line="240" w:lineRule="auto"/>
        <w:rPr>
          <w:rFonts w:cs="Arial"/>
          <w:color w:val="000000"/>
          <w:sz w:val="24"/>
          <w:szCs w:val="24"/>
          <w:shd w:val="clear" w:color="auto" w:fill="F9F9F9"/>
        </w:rPr>
      </w:pPr>
      <w:r w:rsidRPr="00902256">
        <w:rPr>
          <w:sz w:val="24"/>
          <w:szCs w:val="24"/>
        </w:rPr>
        <w:t xml:space="preserve">Figure </w:t>
      </w:r>
      <w:r>
        <w:rPr>
          <w:sz w:val="24"/>
          <w:szCs w:val="24"/>
        </w:rPr>
        <w:t>6</w:t>
      </w:r>
      <w:r w:rsidRPr="00902256">
        <w:rPr>
          <w:sz w:val="24"/>
          <w:szCs w:val="24"/>
        </w:rPr>
        <w:t xml:space="preserve">.1: </w:t>
      </w:r>
      <w:r w:rsidRPr="00902256">
        <w:rPr>
          <w:rFonts w:cs="Arial"/>
          <w:color w:val="000000"/>
          <w:sz w:val="24"/>
          <w:szCs w:val="24"/>
          <w:shd w:val="clear" w:color="auto" w:fill="F9F9F9"/>
        </w:rPr>
        <w:t xml:space="preserve">Martín </w:t>
      </w:r>
      <w:proofErr w:type="spellStart"/>
      <w:r w:rsidRPr="00902256">
        <w:rPr>
          <w:rFonts w:cs="Arial"/>
          <w:color w:val="000000"/>
          <w:sz w:val="24"/>
          <w:szCs w:val="24"/>
          <w:shd w:val="clear" w:color="auto" w:fill="F9F9F9"/>
        </w:rPr>
        <w:t>García</w:t>
      </w:r>
      <w:proofErr w:type="spellEnd"/>
      <w:r w:rsidRPr="00902256">
        <w:rPr>
          <w:rFonts w:cs="Arial"/>
          <w:color w:val="000000"/>
          <w:sz w:val="24"/>
          <w:szCs w:val="24"/>
          <w:shd w:val="clear" w:color="auto" w:fill="F9F9F9"/>
        </w:rPr>
        <w:t xml:space="preserve"> de Loyola y Beatriz Clara </w:t>
      </w:r>
      <w:proofErr w:type="spellStart"/>
      <w:r w:rsidRPr="00902256">
        <w:rPr>
          <w:rFonts w:cs="Arial"/>
          <w:color w:val="000000"/>
          <w:sz w:val="24"/>
          <w:szCs w:val="24"/>
          <w:shd w:val="clear" w:color="auto" w:fill="F9F9F9"/>
        </w:rPr>
        <w:t>Coya</w:t>
      </w:r>
      <w:proofErr w:type="spellEnd"/>
      <w:r w:rsidRPr="00902256">
        <w:rPr>
          <w:rFonts w:cs="Arial"/>
          <w:color w:val="000000"/>
          <w:sz w:val="24"/>
          <w:szCs w:val="24"/>
          <w:shd w:val="clear" w:color="auto" w:fill="F9F9F9"/>
        </w:rPr>
        <w:t xml:space="preserve">, Cuzco School, </w:t>
      </w:r>
      <w:proofErr w:type="spellStart"/>
      <w:r w:rsidRPr="00902256">
        <w:rPr>
          <w:rFonts w:cs="Arial"/>
          <w:color w:val="000000"/>
          <w:sz w:val="24"/>
          <w:szCs w:val="24"/>
          <w:shd w:val="clear" w:color="auto" w:fill="F9F9F9"/>
        </w:rPr>
        <w:t>Iglesia</w:t>
      </w:r>
      <w:proofErr w:type="spellEnd"/>
      <w:r w:rsidRPr="00902256">
        <w:rPr>
          <w:rFonts w:cs="Arial"/>
          <w:color w:val="000000"/>
          <w:sz w:val="24"/>
          <w:szCs w:val="24"/>
          <w:shd w:val="clear" w:color="auto" w:fill="F9F9F9"/>
        </w:rPr>
        <w:t xml:space="preserve"> de la </w:t>
      </w:r>
      <w:proofErr w:type="spellStart"/>
      <w:r w:rsidRPr="00902256">
        <w:rPr>
          <w:rFonts w:cs="Arial"/>
          <w:color w:val="000000"/>
          <w:sz w:val="24"/>
          <w:szCs w:val="24"/>
          <w:shd w:val="clear" w:color="auto" w:fill="F9F9F9"/>
        </w:rPr>
        <w:t>Compania</w:t>
      </w:r>
      <w:proofErr w:type="spellEnd"/>
      <w:r w:rsidRPr="00902256">
        <w:rPr>
          <w:rFonts w:cs="Arial"/>
          <w:color w:val="000000"/>
          <w:sz w:val="24"/>
          <w:szCs w:val="24"/>
          <w:shd w:val="clear" w:color="auto" w:fill="F9F9F9"/>
        </w:rPr>
        <w:t>, 1741.</w:t>
      </w:r>
    </w:p>
    <w:p w:rsidR="00B96CF4" w:rsidRPr="00902256" w:rsidRDefault="00245970" w:rsidP="00B96CF4">
      <w:pPr>
        <w:spacing w:after="0" w:line="240" w:lineRule="auto"/>
        <w:rPr>
          <w:sz w:val="24"/>
          <w:szCs w:val="24"/>
        </w:rPr>
      </w:pPr>
      <w:hyperlink r:id="rId20" w:history="1">
        <w:r w:rsidR="00B96CF4" w:rsidRPr="00902256">
          <w:rPr>
            <w:rStyle w:val="Hyperlink"/>
            <w:rFonts w:cstheme="minorBidi"/>
            <w:sz w:val="24"/>
            <w:szCs w:val="24"/>
          </w:rPr>
          <w:t>http://www.perutourism.com/newsletter2/images/princesa2.jpg</w:t>
        </w:r>
      </w:hyperlink>
    </w:p>
    <w:p w:rsidR="00B96CF4" w:rsidRPr="00902256" w:rsidRDefault="00B96CF4" w:rsidP="00B96CF4">
      <w:pPr>
        <w:spacing w:after="0" w:line="240" w:lineRule="auto"/>
        <w:rPr>
          <w:sz w:val="24"/>
          <w:szCs w:val="24"/>
        </w:rPr>
      </w:pPr>
    </w:p>
    <w:p w:rsidR="00B96CF4" w:rsidRPr="00902256" w:rsidRDefault="00B96CF4" w:rsidP="00B96CF4">
      <w:pPr>
        <w:rPr>
          <w:sz w:val="24"/>
          <w:szCs w:val="24"/>
        </w:rPr>
      </w:pPr>
      <w:r w:rsidRPr="00902256">
        <w:rPr>
          <w:noProof/>
          <w:sz w:val="24"/>
          <w:szCs w:val="24"/>
        </w:rPr>
        <w:lastRenderedPageBreak/>
        <w:drawing>
          <wp:inline distT="0" distB="0" distL="0" distR="0" wp14:anchorId="53C14D47" wp14:editId="39BE6D57">
            <wp:extent cx="3122724" cy="3076575"/>
            <wp:effectExtent l="0" t="0" r="0" b="0"/>
            <wp:docPr id="13" name="Picture 13" descr="File:Cusi Huarc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Cusi Huarcay.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724" cy="3076575"/>
                    </a:xfrm>
                    <a:prstGeom prst="rect">
                      <a:avLst/>
                    </a:prstGeom>
                    <a:noFill/>
                    <a:ln>
                      <a:noFill/>
                    </a:ln>
                  </pic:spPr>
                </pic:pic>
              </a:graphicData>
            </a:graphic>
          </wp:inline>
        </w:drawing>
      </w:r>
      <w:r w:rsidRPr="00902256">
        <w:rPr>
          <w:sz w:val="24"/>
          <w:szCs w:val="24"/>
        </w:rPr>
        <w:t xml:space="preserve"> </w:t>
      </w:r>
      <w:r w:rsidRPr="00902256">
        <w:rPr>
          <w:noProof/>
          <w:sz w:val="24"/>
          <w:szCs w:val="24"/>
        </w:rPr>
        <w:drawing>
          <wp:inline distT="0" distB="0" distL="0" distR="0" wp14:anchorId="5975868F" wp14:editId="0CB801A1">
            <wp:extent cx="2464467" cy="3074178"/>
            <wp:effectExtent l="0" t="0" r="0" b="0"/>
            <wp:docPr id="11" name="Picture 11" descr="File:Loyola y Co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Loyola y Coy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8751" cy="3091996"/>
                    </a:xfrm>
                    <a:prstGeom prst="rect">
                      <a:avLst/>
                    </a:prstGeom>
                    <a:noFill/>
                    <a:ln>
                      <a:noFill/>
                    </a:ln>
                  </pic:spPr>
                </pic:pic>
              </a:graphicData>
            </a:graphic>
          </wp:inline>
        </w:drawing>
      </w:r>
    </w:p>
    <w:p w:rsidR="00B96CF4" w:rsidRPr="00902256" w:rsidRDefault="00B96CF4" w:rsidP="00B96CF4">
      <w:pPr>
        <w:spacing w:after="0" w:line="240" w:lineRule="auto"/>
        <w:rPr>
          <w:rFonts w:cs="Arial"/>
          <w:color w:val="000000"/>
          <w:sz w:val="24"/>
          <w:szCs w:val="24"/>
          <w:shd w:val="clear" w:color="auto" w:fill="F9F9F9"/>
        </w:rPr>
      </w:pPr>
      <w:r w:rsidRPr="00902256">
        <w:rPr>
          <w:sz w:val="24"/>
          <w:szCs w:val="24"/>
        </w:rPr>
        <w:t xml:space="preserve">Figure </w:t>
      </w:r>
      <w:r>
        <w:rPr>
          <w:sz w:val="24"/>
          <w:szCs w:val="24"/>
        </w:rPr>
        <w:t>6</w:t>
      </w:r>
      <w:r w:rsidRPr="00902256">
        <w:rPr>
          <w:sz w:val="24"/>
          <w:szCs w:val="24"/>
        </w:rPr>
        <w:t>.2: Detail</w:t>
      </w:r>
      <w:r>
        <w:rPr>
          <w:sz w:val="24"/>
          <w:szCs w:val="24"/>
        </w:rPr>
        <w:t>s</w:t>
      </w:r>
      <w:r w:rsidRPr="00902256">
        <w:rPr>
          <w:sz w:val="24"/>
          <w:szCs w:val="24"/>
        </w:rPr>
        <w:t xml:space="preserve"> of </w:t>
      </w:r>
      <w:r w:rsidRPr="00902256">
        <w:rPr>
          <w:rFonts w:cs="Arial"/>
          <w:color w:val="000000"/>
          <w:sz w:val="24"/>
          <w:szCs w:val="24"/>
          <w:shd w:val="clear" w:color="auto" w:fill="F9F9F9"/>
        </w:rPr>
        <w:t xml:space="preserve">Martín </w:t>
      </w:r>
      <w:proofErr w:type="spellStart"/>
      <w:r w:rsidRPr="00902256">
        <w:rPr>
          <w:rFonts w:cs="Arial"/>
          <w:color w:val="000000"/>
          <w:sz w:val="24"/>
          <w:szCs w:val="24"/>
          <w:shd w:val="clear" w:color="auto" w:fill="F9F9F9"/>
        </w:rPr>
        <w:t>García</w:t>
      </w:r>
      <w:proofErr w:type="spellEnd"/>
      <w:r w:rsidRPr="00902256">
        <w:rPr>
          <w:rFonts w:cs="Arial"/>
          <w:color w:val="000000"/>
          <w:sz w:val="24"/>
          <w:szCs w:val="24"/>
          <w:shd w:val="clear" w:color="auto" w:fill="F9F9F9"/>
        </w:rPr>
        <w:t xml:space="preserve"> de Loyola y Beatriz Clara </w:t>
      </w:r>
      <w:proofErr w:type="spellStart"/>
      <w:r w:rsidRPr="00902256">
        <w:rPr>
          <w:rFonts w:cs="Arial"/>
          <w:color w:val="000000"/>
          <w:sz w:val="24"/>
          <w:szCs w:val="24"/>
          <w:shd w:val="clear" w:color="auto" w:fill="F9F9F9"/>
        </w:rPr>
        <w:t>Coya</w:t>
      </w:r>
      <w:proofErr w:type="spellEnd"/>
      <w:r w:rsidRPr="00902256">
        <w:rPr>
          <w:rFonts w:cs="Arial"/>
          <w:color w:val="000000"/>
          <w:sz w:val="24"/>
          <w:szCs w:val="24"/>
          <w:shd w:val="clear" w:color="auto" w:fill="F9F9F9"/>
        </w:rPr>
        <w:t xml:space="preserve">, Cuzco School, </w:t>
      </w:r>
      <w:proofErr w:type="spellStart"/>
      <w:r w:rsidRPr="00902256">
        <w:rPr>
          <w:rFonts w:cs="Arial"/>
          <w:color w:val="000000"/>
          <w:sz w:val="24"/>
          <w:szCs w:val="24"/>
          <w:shd w:val="clear" w:color="auto" w:fill="F9F9F9"/>
        </w:rPr>
        <w:t>Iglesia</w:t>
      </w:r>
      <w:proofErr w:type="spellEnd"/>
      <w:r w:rsidRPr="00902256">
        <w:rPr>
          <w:rFonts w:cs="Arial"/>
          <w:color w:val="000000"/>
          <w:sz w:val="24"/>
          <w:szCs w:val="24"/>
          <w:shd w:val="clear" w:color="auto" w:fill="F9F9F9"/>
        </w:rPr>
        <w:t xml:space="preserve"> de la </w:t>
      </w:r>
      <w:proofErr w:type="spellStart"/>
      <w:r w:rsidRPr="00902256">
        <w:rPr>
          <w:rFonts w:cs="Arial"/>
          <w:color w:val="000000"/>
          <w:sz w:val="24"/>
          <w:szCs w:val="24"/>
          <w:shd w:val="clear" w:color="auto" w:fill="F9F9F9"/>
        </w:rPr>
        <w:t>Compania</w:t>
      </w:r>
      <w:proofErr w:type="spellEnd"/>
      <w:r w:rsidRPr="00902256">
        <w:rPr>
          <w:rFonts w:cs="Arial"/>
          <w:color w:val="000000"/>
          <w:sz w:val="24"/>
          <w:szCs w:val="24"/>
          <w:shd w:val="clear" w:color="auto" w:fill="F9F9F9"/>
        </w:rPr>
        <w:t>, 1741.</w:t>
      </w:r>
    </w:p>
    <w:p w:rsidR="00B96CF4" w:rsidRPr="00902256" w:rsidRDefault="00245970" w:rsidP="00B96CF4">
      <w:pPr>
        <w:rPr>
          <w:sz w:val="24"/>
          <w:szCs w:val="24"/>
        </w:rPr>
      </w:pPr>
      <w:hyperlink r:id="rId23" w:history="1">
        <w:r w:rsidR="00B96CF4" w:rsidRPr="00902256">
          <w:rPr>
            <w:rStyle w:val="Hyperlink"/>
            <w:rFonts w:cstheme="minorBidi"/>
            <w:sz w:val="24"/>
            <w:szCs w:val="24"/>
          </w:rPr>
          <w:t>http://www.bienvenidaperu.com/English/Ediciones/Edicion47/capitan_princesa/body.htm</w:t>
        </w:r>
      </w:hyperlink>
    </w:p>
    <w:p w:rsidR="005A42E9" w:rsidRDefault="005A42E9"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Default="00ED4A06" w:rsidP="001452CA">
      <w:pPr>
        <w:spacing w:after="0"/>
        <w:rPr>
          <w:rFonts w:cs="Arial"/>
          <w:color w:val="000000"/>
          <w:sz w:val="24"/>
          <w:szCs w:val="24"/>
          <w:shd w:val="clear" w:color="auto" w:fill="F9F9F9"/>
        </w:rPr>
      </w:pPr>
    </w:p>
    <w:p w:rsidR="00ED4A06" w:rsidRPr="00F9347B" w:rsidRDefault="00ED4A06" w:rsidP="001452CA">
      <w:pPr>
        <w:spacing w:after="0"/>
        <w:rPr>
          <w:rFonts w:cs="Arial"/>
          <w:color w:val="000000"/>
          <w:sz w:val="24"/>
          <w:szCs w:val="24"/>
          <w:shd w:val="clear" w:color="auto" w:fill="F9F9F9"/>
        </w:rPr>
      </w:pPr>
      <w:bookmarkStart w:id="0" w:name="_GoBack"/>
      <w:bookmarkEnd w:id="0"/>
    </w:p>
    <w:p w:rsidR="00246CF9" w:rsidRDefault="007D182E" w:rsidP="001452CA">
      <w:pPr>
        <w:spacing w:after="0" w:line="240" w:lineRule="auto"/>
        <w:jc w:val="center"/>
        <w:rPr>
          <w:sz w:val="24"/>
          <w:szCs w:val="24"/>
          <w:u w:val="single"/>
        </w:rPr>
      </w:pPr>
      <w:r w:rsidRPr="00902256">
        <w:rPr>
          <w:sz w:val="24"/>
          <w:szCs w:val="24"/>
          <w:u w:val="single"/>
        </w:rPr>
        <w:lastRenderedPageBreak/>
        <w:t>BIBLIOGRAPHY</w:t>
      </w:r>
    </w:p>
    <w:p w:rsidR="00F9347B" w:rsidRPr="00F30C3F" w:rsidRDefault="00F9347B" w:rsidP="001452CA">
      <w:pPr>
        <w:spacing w:after="0" w:line="240" w:lineRule="auto"/>
        <w:jc w:val="center"/>
        <w:rPr>
          <w:sz w:val="24"/>
          <w:szCs w:val="24"/>
        </w:rPr>
      </w:pPr>
    </w:p>
    <w:p w:rsidR="00C8118D" w:rsidRDefault="00C8118D" w:rsidP="00C8118D">
      <w:pPr>
        <w:pStyle w:val="ListParagraph"/>
        <w:numPr>
          <w:ilvl w:val="0"/>
          <w:numId w:val="5"/>
        </w:numPr>
        <w:ind w:left="360"/>
        <w:outlineLvl w:val="0"/>
        <w:rPr>
          <w:rFonts w:asciiTheme="minorHAnsi" w:hAnsiTheme="minorHAnsi"/>
          <w:color w:val="000000"/>
          <w:kern w:val="36"/>
        </w:rPr>
      </w:pPr>
      <w:r>
        <w:rPr>
          <w:rFonts w:asciiTheme="minorHAnsi" w:hAnsiTheme="minorHAnsi"/>
          <w:color w:val="000000"/>
          <w:kern w:val="36"/>
        </w:rPr>
        <w:t xml:space="preserve">Bailey, </w:t>
      </w:r>
      <w:proofErr w:type="spellStart"/>
      <w:r>
        <w:rPr>
          <w:rFonts w:asciiTheme="minorHAnsi" w:hAnsiTheme="minorHAnsi"/>
          <w:color w:val="000000"/>
          <w:kern w:val="36"/>
        </w:rPr>
        <w:t>Gauvin</w:t>
      </w:r>
      <w:proofErr w:type="spellEnd"/>
      <w:r>
        <w:rPr>
          <w:rFonts w:asciiTheme="minorHAnsi" w:hAnsiTheme="minorHAnsi"/>
          <w:color w:val="000000"/>
          <w:kern w:val="36"/>
        </w:rPr>
        <w:t xml:space="preserve"> Alexander. “Indian Conquest of Catholic Art</w:t>
      </w:r>
      <w:r w:rsidR="00CC5E54">
        <w:rPr>
          <w:rFonts w:asciiTheme="minorHAnsi" w:hAnsiTheme="minorHAnsi"/>
          <w:color w:val="000000"/>
          <w:kern w:val="36"/>
        </w:rPr>
        <w:t>:</w:t>
      </w:r>
      <w:r>
        <w:rPr>
          <w:rFonts w:asciiTheme="minorHAnsi" w:hAnsiTheme="minorHAnsi"/>
          <w:color w:val="000000"/>
          <w:kern w:val="36"/>
        </w:rPr>
        <w:t xml:space="preserve"> The Mughals, the Jesuits, and Imperial Mural Painting</w:t>
      </w:r>
      <w:r w:rsidRPr="00C960E1">
        <w:rPr>
          <w:rFonts w:asciiTheme="minorHAnsi" w:hAnsiTheme="minorHAnsi"/>
          <w:i/>
          <w:color w:val="000000"/>
          <w:kern w:val="36"/>
        </w:rPr>
        <w:t>.</w:t>
      </w:r>
      <w:r w:rsidRPr="00C960E1">
        <w:rPr>
          <w:rFonts w:asciiTheme="minorHAnsi" w:hAnsiTheme="minorHAnsi"/>
          <w:color w:val="000000"/>
          <w:kern w:val="36"/>
        </w:rPr>
        <w:t>”</w:t>
      </w:r>
      <w:r w:rsidRPr="00C960E1">
        <w:rPr>
          <w:rFonts w:asciiTheme="minorHAnsi" w:hAnsiTheme="minorHAnsi"/>
          <w:i/>
          <w:color w:val="000000"/>
          <w:kern w:val="36"/>
        </w:rPr>
        <w:t xml:space="preserve"> Art Journal</w:t>
      </w:r>
      <w:r>
        <w:rPr>
          <w:rFonts w:asciiTheme="minorHAnsi" w:hAnsiTheme="minorHAnsi"/>
          <w:color w:val="000000"/>
          <w:kern w:val="36"/>
        </w:rPr>
        <w:t xml:space="preserve"> 57, no. 1 (1998):</w:t>
      </w:r>
      <w:r w:rsidR="00C960E1">
        <w:rPr>
          <w:rFonts w:asciiTheme="minorHAnsi" w:hAnsiTheme="minorHAnsi"/>
          <w:color w:val="000000"/>
          <w:kern w:val="36"/>
        </w:rPr>
        <w:t xml:space="preserve"> </w:t>
      </w:r>
      <w:r>
        <w:rPr>
          <w:rFonts w:asciiTheme="minorHAnsi" w:hAnsiTheme="minorHAnsi"/>
          <w:color w:val="000000"/>
          <w:kern w:val="36"/>
        </w:rPr>
        <w:t>24-30.</w:t>
      </w:r>
    </w:p>
    <w:p w:rsidR="00C8118D" w:rsidRDefault="00C8118D" w:rsidP="00C8118D">
      <w:pPr>
        <w:pStyle w:val="ListParagraph"/>
        <w:ind w:left="360"/>
        <w:outlineLvl w:val="0"/>
        <w:rPr>
          <w:rFonts w:asciiTheme="minorHAnsi" w:hAnsiTheme="minorHAnsi"/>
          <w:color w:val="000000"/>
          <w:kern w:val="36"/>
        </w:rPr>
      </w:pPr>
    </w:p>
    <w:p w:rsidR="00C8118D" w:rsidRPr="00C960E1" w:rsidRDefault="00C8118D" w:rsidP="00C8118D">
      <w:pPr>
        <w:pStyle w:val="ListParagraph"/>
        <w:numPr>
          <w:ilvl w:val="0"/>
          <w:numId w:val="5"/>
        </w:numPr>
        <w:ind w:left="360"/>
        <w:outlineLvl w:val="0"/>
        <w:rPr>
          <w:rFonts w:asciiTheme="minorHAnsi" w:hAnsiTheme="minorHAnsi"/>
          <w:color w:val="000000"/>
          <w:kern w:val="36"/>
        </w:rPr>
      </w:pPr>
      <w:proofErr w:type="spellStart"/>
      <w:r w:rsidRPr="00C8118D">
        <w:rPr>
          <w:rFonts w:asciiTheme="minorHAnsi" w:hAnsiTheme="minorHAnsi"/>
          <w:color w:val="000000"/>
          <w:kern w:val="36"/>
        </w:rPr>
        <w:t>Bireley</w:t>
      </w:r>
      <w:proofErr w:type="spellEnd"/>
      <w:r w:rsidRPr="00C8118D">
        <w:rPr>
          <w:rFonts w:asciiTheme="minorHAnsi" w:hAnsiTheme="minorHAnsi"/>
          <w:color w:val="000000"/>
          <w:kern w:val="36"/>
        </w:rPr>
        <w:t xml:space="preserve">, Robert. </w:t>
      </w:r>
      <w:r w:rsidRPr="00C8118D">
        <w:rPr>
          <w:rFonts w:asciiTheme="minorHAnsi" w:hAnsiTheme="minorHAnsi"/>
          <w:i/>
          <w:color w:val="000000"/>
          <w:kern w:val="36"/>
        </w:rPr>
        <w:t>The Refashioning of Catholicism, 1450-1700: A Reassessment of the Counter Reformation.</w:t>
      </w:r>
      <w:r w:rsidRPr="00C8118D">
        <w:rPr>
          <w:rFonts w:asciiTheme="minorHAnsi" w:hAnsiTheme="minorHAnsi"/>
          <w:color w:val="000000"/>
          <w:kern w:val="36"/>
        </w:rPr>
        <w:t xml:space="preserve"> </w:t>
      </w:r>
      <w:r w:rsidRPr="00C8118D">
        <w:rPr>
          <w:rFonts w:asciiTheme="minorHAnsi" w:hAnsiTheme="minorHAnsi"/>
          <w:color w:val="000000"/>
          <w:shd w:val="clear" w:color="auto" w:fill="FFFFFF"/>
        </w:rPr>
        <w:t>Catholic University of America Press, 1999.</w:t>
      </w:r>
    </w:p>
    <w:p w:rsidR="00C960E1" w:rsidRPr="00C960E1" w:rsidRDefault="00C960E1" w:rsidP="00C960E1">
      <w:pPr>
        <w:pStyle w:val="ListParagraph"/>
        <w:rPr>
          <w:rFonts w:asciiTheme="minorHAnsi" w:hAnsiTheme="minorHAnsi"/>
          <w:color w:val="000000"/>
          <w:kern w:val="36"/>
        </w:rPr>
      </w:pPr>
    </w:p>
    <w:p w:rsidR="00CC5E54" w:rsidRDefault="00C960E1" w:rsidP="00CC5E54">
      <w:pPr>
        <w:pStyle w:val="ListParagraph"/>
        <w:numPr>
          <w:ilvl w:val="0"/>
          <w:numId w:val="5"/>
        </w:numPr>
        <w:ind w:left="360"/>
        <w:outlineLvl w:val="0"/>
        <w:rPr>
          <w:rFonts w:asciiTheme="minorHAnsi" w:hAnsiTheme="minorHAnsi"/>
          <w:color w:val="000000"/>
          <w:kern w:val="36"/>
        </w:rPr>
      </w:pPr>
      <w:r>
        <w:rPr>
          <w:rFonts w:asciiTheme="minorHAnsi" w:hAnsiTheme="minorHAnsi"/>
          <w:color w:val="000000"/>
          <w:kern w:val="36"/>
        </w:rPr>
        <w:t>Cahill, David. “</w:t>
      </w:r>
      <w:proofErr w:type="spellStart"/>
      <w:r>
        <w:rPr>
          <w:rFonts w:asciiTheme="minorHAnsi" w:hAnsiTheme="minorHAnsi"/>
          <w:color w:val="000000"/>
          <w:kern w:val="36"/>
        </w:rPr>
        <w:t>Colour</w:t>
      </w:r>
      <w:proofErr w:type="spellEnd"/>
      <w:r>
        <w:rPr>
          <w:rFonts w:asciiTheme="minorHAnsi" w:hAnsiTheme="minorHAnsi"/>
          <w:color w:val="000000"/>
          <w:kern w:val="36"/>
        </w:rPr>
        <w:t xml:space="preserve"> by Numbers: Racial and Ethnic Categories in the Viceroyalty of Peru, 1532-1824.” </w:t>
      </w:r>
      <w:r w:rsidRPr="00C960E1">
        <w:rPr>
          <w:rFonts w:asciiTheme="minorHAnsi" w:hAnsiTheme="minorHAnsi"/>
          <w:i/>
          <w:color w:val="000000"/>
          <w:kern w:val="36"/>
        </w:rPr>
        <w:t>Journal of Latin American Studies</w:t>
      </w:r>
      <w:r>
        <w:rPr>
          <w:rFonts w:asciiTheme="minorHAnsi" w:hAnsiTheme="minorHAnsi"/>
          <w:color w:val="000000"/>
          <w:kern w:val="36"/>
        </w:rPr>
        <w:t xml:space="preserve"> 26, no. 2 (1994): 325-346.</w:t>
      </w:r>
    </w:p>
    <w:p w:rsidR="00CC5E54" w:rsidRPr="00CC5E54" w:rsidRDefault="00CC5E54" w:rsidP="00CC5E54">
      <w:pPr>
        <w:spacing w:after="0"/>
        <w:outlineLvl w:val="0"/>
        <w:rPr>
          <w:color w:val="000000"/>
          <w:kern w:val="36"/>
        </w:rPr>
      </w:pPr>
    </w:p>
    <w:p w:rsidR="00CC5E54" w:rsidRDefault="00CC5E54" w:rsidP="00CC5E54">
      <w:pPr>
        <w:pStyle w:val="ListParagraph"/>
        <w:numPr>
          <w:ilvl w:val="0"/>
          <w:numId w:val="5"/>
        </w:numPr>
        <w:ind w:left="360"/>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“Cuzco School.” Oxford Art Online. </w:t>
      </w:r>
      <w:proofErr w:type="gramStart"/>
      <w:r w:rsidRPr="00CC5E54">
        <w:rPr>
          <w:rFonts w:asciiTheme="minorHAnsi" w:hAnsiTheme="minorHAnsi"/>
          <w:color w:val="000000" w:themeColor="text1"/>
          <w:shd w:val="clear" w:color="auto" w:fill="FFFFFF"/>
        </w:rPr>
        <w:t>www.oxfordartonline.com.library.svsu.edu</w:t>
      </w:r>
      <w:proofErr w:type="gramEnd"/>
      <w:r>
        <w:rPr>
          <w:rFonts w:asciiTheme="minorHAnsi" w:hAnsiTheme="minorHAnsi"/>
          <w:color w:val="000000" w:themeColor="text1"/>
          <w:shd w:val="clear" w:color="auto" w:fill="FFFFFF"/>
        </w:rPr>
        <w:t>. December 6, 2012.</w:t>
      </w:r>
    </w:p>
    <w:p w:rsidR="00602D22" w:rsidRPr="00602D22" w:rsidRDefault="00602D22" w:rsidP="00602D22">
      <w:pPr>
        <w:pStyle w:val="ListParagraph"/>
        <w:rPr>
          <w:rFonts w:asciiTheme="minorHAnsi" w:hAnsiTheme="minorHAnsi"/>
          <w:color w:val="000000" w:themeColor="text1"/>
          <w:shd w:val="clear" w:color="auto" w:fill="FFFFFF"/>
        </w:rPr>
      </w:pPr>
    </w:p>
    <w:p w:rsidR="00602D22" w:rsidRDefault="00602D22" w:rsidP="00602D22">
      <w:pPr>
        <w:pStyle w:val="ListParagraph"/>
        <w:numPr>
          <w:ilvl w:val="0"/>
          <w:numId w:val="5"/>
        </w:numPr>
        <w:ind w:left="360"/>
        <w:rPr>
          <w:rFonts w:asciiTheme="minorHAnsi" w:hAnsiTheme="minorHAnsi"/>
          <w:color w:val="000000" w:themeColor="text1"/>
          <w:shd w:val="clear" w:color="auto" w:fill="FFFFFF"/>
        </w:rPr>
      </w:pPr>
      <w:proofErr w:type="spellStart"/>
      <w:r>
        <w:rPr>
          <w:rFonts w:asciiTheme="minorHAnsi" w:hAnsiTheme="minorHAnsi"/>
          <w:color w:val="000000" w:themeColor="text1"/>
          <w:shd w:val="clear" w:color="auto" w:fill="FFFFFF"/>
        </w:rPr>
        <w:t>Degregori</w:t>
      </w:r>
      <w:proofErr w:type="spellEnd"/>
      <w:r>
        <w:rPr>
          <w:rFonts w:asciiTheme="minorHAnsi" w:hAnsiTheme="minorHAnsi"/>
          <w:color w:val="000000" w:themeColor="text1"/>
          <w:shd w:val="clear" w:color="auto" w:fill="FFFFFF"/>
        </w:rPr>
        <w:t xml:space="preserve">, Luis Nieto. “The Captain and the Inca Princess in the Jesuit Church.” </w:t>
      </w:r>
      <w:proofErr w:type="spellStart"/>
      <w:r>
        <w:rPr>
          <w:rFonts w:asciiTheme="minorHAnsi" w:hAnsiTheme="minorHAnsi"/>
          <w:color w:val="000000" w:themeColor="text1"/>
          <w:shd w:val="clear" w:color="auto" w:fill="FFFFFF"/>
        </w:rPr>
        <w:t>Bienvenida</w:t>
      </w:r>
      <w:proofErr w:type="spellEnd"/>
      <w:r>
        <w:rPr>
          <w:rFonts w:asciiTheme="minorHAnsi" w:hAnsiTheme="minorHAnsi"/>
          <w:color w:val="000000" w:themeColor="text1"/>
          <w:shd w:val="clear" w:color="auto" w:fill="FFFFFF"/>
        </w:rPr>
        <w:t xml:space="preserve"> Editors. </w:t>
      </w:r>
      <w:r w:rsidRPr="00602D22">
        <w:rPr>
          <w:rFonts w:asciiTheme="minorHAnsi" w:hAnsiTheme="minorHAnsi"/>
          <w:color w:val="000000" w:themeColor="text1"/>
          <w:shd w:val="clear" w:color="auto" w:fill="FFFFFF"/>
        </w:rPr>
        <w:t>http://www.bienvenidaperu.com</w:t>
      </w:r>
      <w:r>
        <w:rPr>
          <w:rFonts w:asciiTheme="minorHAnsi" w:hAnsiTheme="minorHAnsi"/>
          <w:color w:val="000000" w:themeColor="text1"/>
          <w:shd w:val="clear" w:color="auto" w:fill="FFFFFF"/>
        </w:rPr>
        <w:t>. December 6, 2012.</w:t>
      </w:r>
    </w:p>
    <w:p w:rsidR="00C8118D" w:rsidRPr="00C8118D" w:rsidRDefault="00C8118D" w:rsidP="00C8118D">
      <w:pPr>
        <w:pStyle w:val="FootnoteText"/>
        <w:ind w:left="360"/>
        <w:rPr>
          <w:sz w:val="24"/>
          <w:szCs w:val="24"/>
        </w:rPr>
      </w:pPr>
    </w:p>
    <w:p w:rsidR="004755CA" w:rsidRDefault="00F30C3F" w:rsidP="009720A0">
      <w:pPr>
        <w:pStyle w:val="FootnoteText"/>
        <w:numPr>
          <w:ilvl w:val="0"/>
          <w:numId w:val="5"/>
        </w:numPr>
        <w:ind w:left="360"/>
        <w:rPr>
          <w:sz w:val="24"/>
          <w:szCs w:val="24"/>
        </w:rPr>
      </w:pPr>
      <w:r w:rsidRPr="00F30C3F">
        <w:rPr>
          <w:sz w:val="24"/>
          <w:szCs w:val="24"/>
        </w:rPr>
        <w:t>Donahue-Wallace</w:t>
      </w:r>
      <w:r w:rsidR="00C8118D">
        <w:rPr>
          <w:sz w:val="24"/>
          <w:szCs w:val="24"/>
        </w:rPr>
        <w:t>,</w:t>
      </w:r>
      <w:r w:rsidR="00C8118D" w:rsidRPr="00C8118D">
        <w:rPr>
          <w:sz w:val="24"/>
          <w:szCs w:val="24"/>
        </w:rPr>
        <w:t xml:space="preserve"> </w:t>
      </w:r>
      <w:r w:rsidR="00C8118D" w:rsidRPr="00F30C3F">
        <w:rPr>
          <w:sz w:val="24"/>
          <w:szCs w:val="24"/>
        </w:rPr>
        <w:t>Kelley</w:t>
      </w:r>
      <w:r w:rsidRPr="00F30C3F">
        <w:rPr>
          <w:i/>
          <w:sz w:val="24"/>
          <w:szCs w:val="24"/>
        </w:rPr>
        <w:t xml:space="preserve">. Art and Architecture of </w:t>
      </w:r>
      <w:proofErr w:type="spellStart"/>
      <w:r w:rsidRPr="00F30C3F">
        <w:rPr>
          <w:i/>
          <w:sz w:val="24"/>
          <w:szCs w:val="24"/>
        </w:rPr>
        <w:t>Viceregal</w:t>
      </w:r>
      <w:proofErr w:type="spellEnd"/>
      <w:r w:rsidRPr="00F30C3F">
        <w:rPr>
          <w:i/>
          <w:sz w:val="24"/>
          <w:szCs w:val="24"/>
        </w:rPr>
        <w:t xml:space="preserve"> Latin America, 1521-1821</w:t>
      </w:r>
      <w:r w:rsidRPr="00F30C3F">
        <w:rPr>
          <w:sz w:val="24"/>
          <w:szCs w:val="24"/>
        </w:rPr>
        <w:t>. NM: University of New Mexico Press, 2008.</w:t>
      </w:r>
    </w:p>
    <w:p w:rsidR="00812BFC" w:rsidRDefault="00812BFC" w:rsidP="00812BFC">
      <w:pPr>
        <w:pStyle w:val="ListParagraph"/>
      </w:pPr>
    </w:p>
    <w:p w:rsidR="00994110" w:rsidRPr="00994110" w:rsidRDefault="00812BFC" w:rsidP="00994110">
      <w:pPr>
        <w:pStyle w:val="FootnoteText"/>
        <w:numPr>
          <w:ilvl w:val="0"/>
          <w:numId w:val="5"/>
        </w:numPr>
        <w:ind w:left="360"/>
        <w:rPr>
          <w:sz w:val="24"/>
          <w:szCs w:val="24"/>
        </w:rPr>
      </w:pPr>
      <w:r>
        <w:rPr>
          <w:sz w:val="24"/>
          <w:szCs w:val="24"/>
        </w:rPr>
        <w:t xml:space="preserve">Dubois, Laurent. </w:t>
      </w:r>
      <w:r w:rsidR="00994110">
        <w:rPr>
          <w:sz w:val="24"/>
          <w:szCs w:val="24"/>
        </w:rPr>
        <w:t xml:space="preserve">“The Price of Liberty: Victor </w:t>
      </w:r>
      <w:proofErr w:type="spellStart"/>
      <w:r w:rsidR="00994110">
        <w:rPr>
          <w:sz w:val="24"/>
          <w:szCs w:val="24"/>
        </w:rPr>
        <w:t>Hugues</w:t>
      </w:r>
      <w:proofErr w:type="spellEnd"/>
      <w:r w:rsidR="00994110">
        <w:rPr>
          <w:sz w:val="24"/>
          <w:szCs w:val="24"/>
        </w:rPr>
        <w:t xml:space="preserve"> and the Administration of Freedom in Guadeloupe, 1794-1798.” </w:t>
      </w:r>
      <w:r w:rsidR="00994110" w:rsidRPr="00994110">
        <w:rPr>
          <w:i/>
          <w:sz w:val="24"/>
          <w:szCs w:val="24"/>
        </w:rPr>
        <w:t>The William and Mary Quarterly</w:t>
      </w:r>
      <w:r w:rsidR="00994110">
        <w:rPr>
          <w:sz w:val="24"/>
          <w:szCs w:val="24"/>
        </w:rPr>
        <w:t xml:space="preserve"> 56, no. 2 (1999): 363-392.</w:t>
      </w:r>
    </w:p>
    <w:p w:rsidR="00CC5E54" w:rsidRDefault="00CC5E54" w:rsidP="00CC5E54">
      <w:pPr>
        <w:pStyle w:val="FootnoteText"/>
        <w:rPr>
          <w:sz w:val="24"/>
          <w:szCs w:val="24"/>
        </w:rPr>
      </w:pPr>
    </w:p>
    <w:p w:rsidR="00CC5E54" w:rsidRPr="00902256" w:rsidRDefault="00757C98" w:rsidP="00CC5E54">
      <w:pPr>
        <w:pStyle w:val="ListParagraph"/>
        <w:numPr>
          <w:ilvl w:val="0"/>
          <w:numId w:val="5"/>
        </w:numPr>
        <w:ind w:left="360"/>
        <w:rPr>
          <w:rFonts w:asciiTheme="minorHAnsi" w:hAnsiTheme="minorHAnsi"/>
        </w:rPr>
      </w:pPr>
      <w:r>
        <w:rPr>
          <w:rFonts w:asciiTheme="minorHAnsi" w:hAnsiTheme="minorHAnsi"/>
        </w:rPr>
        <w:t>Emily Kelly.</w:t>
      </w:r>
      <w:r w:rsidR="00CC5E54" w:rsidRPr="00902256">
        <w:rPr>
          <w:rFonts w:asciiTheme="minorHAnsi" w:hAnsiTheme="minorHAnsi"/>
        </w:rPr>
        <w:t xml:space="preserve"> Course 3</w:t>
      </w:r>
      <w:r w:rsidR="00CC5E54">
        <w:rPr>
          <w:rFonts w:asciiTheme="minorHAnsi" w:hAnsiTheme="minorHAnsi"/>
        </w:rPr>
        <w:t>04</w:t>
      </w:r>
      <w:r w:rsidR="00CC5E54" w:rsidRPr="00902256">
        <w:rPr>
          <w:rFonts w:asciiTheme="minorHAnsi" w:hAnsiTheme="minorHAnsi"/>
        </w:rPr>
        <w:t xml:space="preserve"> Lectures</w:t>
      </w:r>
      <w:r>
        <w:rPr>
          <w:rFonts w:asciiTheme="minorHAnsi" w:hAnsiTheme="minorHAnsi"/>
        </w:rPr>
        <w:t>.</w:t>
      </w:r>
      <w:r w:rsidR="00CC5E54" w:rsidRPr="00902256">
        <w:rPr>
          <w:rFonts w:asciiTheme="minorHAnsi" w:hAnsiTheme="minorHAnsi"/>
        </w:rPr>
        <w:t xml:space="preserve"> </w:t>
      </w:r>
      <w:r>
        <w:rPr>
          <w:rFonts w:asciiTheme="minorHAnsi" w:hAnsiTheme="minorHAnsi"/>
        </w:rPr>
        <w:t>Saginaw Valley State University,</w:t>
      </w:r>
      <w:r w:rsidR="00CC5E54" w:rsidRPr="00902256">
        <w:rPr>
          <w:rFonts w:asciiTheme="minorHAnsi" w:hAnsiTheme="minorHAnsi"/>
        </w:rPr>
        <w:t xml:space="preserve"> 201</w:t>
      </w:r>
      <w:r w:rsidR="00CC5E54">
        <w:rPr>
          <w:rFonts w:asciiTheme="minorHAnsi" w:hAnsiTheme="minorHAnsi"/>
        </w:rPr>
        <w:t>2</w:t>
      </w:r>
      <w:r w:rsidR="00CC5E54" w:rsidRPr="00902256">
        <w:rPr>
          <w:rFonts w:asciiTheme="minorHAnsi" w:hAnsiTheme="minorHAnsi"/>
        </w:rPr>
        <w:t>.</w:t>
      </w:r>
    </w:p>
    <w:p w:rsidR="00C960E1" w:rsidRDefault="00C960E1" w:rsidP="00C960E1">
      <w:pPr>
        <w:pStyle w:val="ListParagraph"/>
      </w:pPr>
    </w:p>
    <w:p w:rsidR="00C960E1" w:rsidRPr="00F30C3F" w:rsidRDefault="00C960E1" w:rsidP="009720A0">
      <w:pPr>
        <w:pStyle w:val="FootnoteText"/>
        <w:numPr>
          <w:ilvl w:val="0"/>
          <w:numId w:val="5"/>
        </w:numPr>
        <w:ind w:left="360"/>
        <w:rPr>
          <w:sz w:val="24"/>
          <w:szCs w:val="24"/>
        </w:rPr>
      </w:pPr>
      <w:proofErr w:type="spellStart"/>
      <w:r>
        <w:rPr>
          <w:sz w:val="24"/>
          <w:szCs w:val="24"/>
        </w:rPr>
        <w:t>Gade</w:t>
      </w:r>
      <w:proofErr w:type="spellEnd"/>
      <w:r>
        <w:rPr>
          <w:sz w:val="24"/>
          <w:szCs w:val="24"/>
        </w:rPr>
        <w:t xml:space="preserve">, Daniel W. “Landscape, System, and Identity in the Post-Conquest Andes.” </w:t>
      </w:r>
      <w:r w:rsidRPr="00C960E1">
        <w:rPr>
          <w:i/>
          <w:sz w:val="24"/>
          <w:szCs w:val="24"/>
        </w:rPr>
        <w:t>Annals of the Association of American Geographers</w:t>
      </w:r>
      <w:r>
        <w:rPr>
          <w:sz w:val="24"/>
          <w:szCs w:val="24"/>
        </w:rPr>
        <w:t xml:space="preserve"> 82, no. 3 (1992): 460-477.</w:t>
      </w:r>
    </w:p>
    <w:p w:rsidR="00F30C3F" w:rsidRPr="00F30C3F" w:rsidRDefault="00F30C3F" w:rsidP="00F30C3F">
      <w:pPr>
        <w:pStyle w:val="FootnoteText"/>
        <w:ind w:left="360"/>
        <w:rPr>
          <w:sz w:val="24"/>
          <w:szCs w:val="24"/>
        </w:rPr>
      </w:pPr>
    </w:p>
    <w:p w:rsidR="00F30C3F" w:rsidRDefault="00F30C3F" w:rsidP="00F30C3F">
      <w:pPr>
        <w:pStyle w:val="ListParagraph"/>
        <w:numPr>
          <w:ilvl w:val="0"/>
          <w:numId w:val="5"/>
        </w:numPr>
        <w:ind w:left="360"/>
        <w:rPr>
          <w:rFonts w:asciiTheme="minorHAnsi" w:hAnsiTheme="minorHAnsi"/>
          <w:color w:val="000000" w:themeColor="text1"/>
          <w:shd w:val="clear" w:color="auto" w:fill="FFFFFF"/>
        </w:rPr>
      </w:pPr>
      <w:proofErr w:type="spellStart"/>
      <w:r w:rsidRPr="00F30C3F">
        <w:rPr>
          <w:rFonts w:asciiTheme="minorHAnsi" w:hAnsiTheme="minorHAnsi"/>
          <w:color w:val="000000" w:themeColor="text1"/>
          <w:shd w:val="clear" w:color="auto" w:fill="FFFFFF"/>
        </w:rPr>
        <w:t>Kleiner</w:t>
      </w:r>
      <w:proofErr w:type="spellEnd"/>
      <w:r w:rsidRPr="00F30C3F">
        <w:rPr>
          <w:rFonts w:asciiTheme="minorHAnsi" w:hAnsiTheme="minorHAnsi"/>
          <w:color w:val="000000" w:themeColor="text1"/>
          <w:shd w:val="clear" w:color="auto" w:fill="FFFFFF"/>
        </w:rPr>
        <w:t xml:space="preserve">, Fred. </w:t>
      </w:r>
      <w:r w:rsidRPr="00F30C3F">
        <w:rPr>
          <w:rFonts w:asciiTheme="minorHAnsi" w:hAnsiTheme="minorHAnsi"/>
          <w:i/>
          <w:color w:val="000000" w:themeColor="text1"/>
          <w:shd w:val="clear" w:color="auto" w:fill="FFFFFF"/>
        </w:rPr>
        <w:t xml:space="preserve">Gardner’s Art </w:t>
      </w:r>
      <w:proofErr w:type="gramStart"/>
      <w:r w:rsidRPr="00F30C3F">
        <w:rPr>
          <w:rFonts w:asciiTheme="minorHAnsi" w:hAnsiTheme="minorHAnsi"/>
          <w:i/>
          <w:color w:val="000000" w:themeColor="text1"/>
          <w:shd w:val="clear" w:color="auto" w:fill="FFFFFF"/>
        </w:rPr>
        <w:t>Through</w:t>
      </w:r>
      <w:proofErr w:type="gramEnd"/>
      <w:r w:rsidRPr="00F30C3F">
        <w:rPr>
          <w:rFonts w:asciiTheme="minorHAnsi" w:hAnsiTheme="minorHAnsi"/>
          <w:i/>
          <w:color w:val="000000" w:themeColor="text1"/>
          <w:shd w:val="clear" w:color="auto" w:fill="FFFFFF"/>
        </w:rPr>
        <w:t xml:space="preserve"> the Ages: A Global History</w:t>
      </w:r>
      <w:r w:rsidRPr="00F30C3F">
        <w:rPr>
          <w:rFonts w:asciiTheme="minorHAnsi" w:hAnsiTheme="minorHAnsi"/>
          <w:color w:val="000000" w:themeColor="text1"/>
          <w:shd w:val="clear" w:color="auto" w:fill="FFFFFF"/>
        </w:rPr>
        <w:t>. CA: Wadsworth Publishing, 2010.</w:t>
      </w:r>
    </w:p>
    <w:p w:rsidR="00575DD6" w:rsidRPr="00575DD6" w:rsidRDefault="00575DD6" w:rsidP="00575DD6">
      <w:pPr>
        <w:pStyle w:val="ListParagraph"/>
        <w:rPr>
          <w:rFonts w:asciiTheme="minorHAnsi" w:hAnsiTheme="minorHAnsi"/>
          <w:color w:val="000000" w:themeColor="text1"/>
          <w:shd w:val="clear" w:color="auto" w:fill="FFFFFF"/>
        </w:rPr>
      </w:pPr>
    </w:p>
    <w:p w:rsidR="00575DD6" w:rsidRDefault="00575DD6" w:rsidP="00F30C3F">
      <w:pPr>
        <w:pStyle w:val="ListParagraph"/>
        <w:numPr>
          <w:ilvl w:val="0"/>
          <w:numId w:val="5"/>
        </w:numPr>
        <w:ind w:left="360"/>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Martin, Regis. </w:t>
      </w:r>
      <w:r w:rsidRPr="00575DD6">
        <w:rPr>
          <w:rFonts w:asciiTheme="minorHAnsi" w:hAnsiTheme="minorHAnsi"/>
          <w:i/>
          <w:color w:val="000000" w:themeColor="text1"/>
          <w:shd w:val="clear" w:color="auto" w:fill="FFFFFF"/>
        </w:rPr>
        <w:t>The Last Things: Death, Judgment, Hell, Heaven</w:t>
      </w:r>
      <w:r>
        <w:rPr>
          <w:rFonts w:asciiTheme="minorHAnsi" w:hAnsiTheme="minorHAnsi"/>
          <w:color w:val="000000" w:themeColor="text1"/>
          <w:shd w:val="clear" w:color="auto" w:fill="FFFFFF"/>
        </w:rPr>
        <w:t>. (Ignatius Press, 1998).</w:t>
      </w:r>
    </w:p>
    <w:p w:rsidR="005A42E9" w:rsidRPr="005A42E9" w:rsidRDefault="005A42E9" w:rsidP="005A42E9">
      <w:pPr>
        <w:pStyle w:val="ListParagraph"/>
        <w:rPr>
          <w:rFonts w:asciiTheme="minorHAnsi" w:hAnsiTheme="minorHAnsi"/>
          <w:color w:val="000000" w:themeColor="text1"/>
          <w:shd w:val="clear" w:color="auto" w:fill="FFFFFF"/>
        </w:rPr>
      </w:pPr>
    </w:p>
    <w:p w:rsidR="005A42E9" w:rsidRDefault="005A42E9" w:rsidP="00F30C3F">
      <w:pPr>
        <w:pStyle w:val="ListParagraph"/>
        <w:numPr>
          <w:ilvl w:val="0"/>
          <w:numId w:val="5"/>
        </w:numPr>
        <w:ind w:left="360"/>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t xml:space="preserve">Mills, Kenneth. “The Limits of Religious Coercion in Mid-Colonial Peru.” </w:t>
      </w:r>
      <w:r w:rsidRPr="005A42E9">
        <w:rPr>
          <w:rFonts w:asciiTheme="minorHAnsi" w:hAnsiTheme="minorHAnsi"/>
          <w:i/>
          <w:color w:val="000000" w:themeColor="text1"/>
          <w:shd w:val="clear" w:color="auto" w:fill="FFFFFF"/>
        </w:rPr>
        <w:t>Past &amp; Present</w:t>
      </w:r>
      <w:r>
        <w:rPr>
          <w:rFonts w:asciiTheme="minorHAnsi" w:hAnsiTheme="minorHAnsi"/>
          <w:color w:val="000000" w:themeColor="text1"/>
          <w:shd w:val="clear" w:color="auto" w:fill="FFFFFF"/>
        </w:rPr>
        <w:t>, no. 145 (1994): 84-121.</w:t>
      </w:r>
    </w:p>
    <w:p w:rsidR="00575DD6" w:rsidRPr="00575DD6" w:rsidRDefault="00575DD6" w:rsidP="00575DD6">
      <w:pPr>
        <w:pStyle w:val="ListParagraph"/>
        <w:rPr>
          <w:rFonts w:asciiTheme="minorHAnsi" w:hAnsiTheme="minorHAnsi"/>
          <w:color w:val="000000" w:themeColor="text1"/>
          <w:shd w:val="clear" w:color="auto" w:fill="FFFFFF"/>
        </w:rPr>
      </w:pPr>
    </w:p>
    <w:p w:rsidR="00575DD6" w:rsidRDefault="00575DD6" w:rsidP="00F30C3F">
      <w:pPr>
        <w:pStyle w:val="ListParagraph"/>
        <w:numPr>
          <w:ilvl w:val="0"/>
          <w:numId w:val="5"/>
        </w:numPr>
        <w:ind w:left="360"/>
        <w:rPr>
          <w:rFonts w:asciiTheme="minorHAnsi" w:hAnsiTheme="minorHAnsi"/>
          <w:color w:val="000000" w:themeColor="text1"/>
          <w:shd w:val="clear" w:color="auto" w:fill="FFFFFF"/>
        </w:rPr>
      </w:pPr>
      <w:proofErr w:type="spellStart"/>
      <w:r>
        <w:rPr>
          <w:rFonts w:asciiTheme="minorHAnsi" w:hAnsiTheme="minorHAnsi"/>
          <w:color w:val="000000" w:themeColor="text1"/>
          <w:shd w:val="clear" w:color="auto" w:fill="FFFFFF"/>
        </w:rPr>
        <w:t>Petzold</w:t>
      </w:r>
      <w:proofErr w:type="spellEnd"/>
      <w:r>
        <w:rPr>
          <w:rFonts w:asciiTheme="minorHAnsi" w:hAnsiTheme="minorHAnsi"/>
          <w:color w:val="000000" w:themeColor="text1"/>
          <w:shd w:val="clear" w:color="auto" w:fill="FFFFFF"/>
        </w:rPr>
        <w:t xml:space="preserve">, Andreas. </w:t>
      </w:r>
      <w:r w:rsidRPr="00575DD6">
        <w:rPr>
          <w:rFonts w:asciiTheme="minorHAnsi" w:hAnsiTheme="minorHAnsi"/>
          <w:i/>
          <w:color w:val="000000" w:themeColor="text1"/>
          <w:shd w:val="clear" w:color="auto" w:fill="FFFFFF"/>
        </w:rPr>
        <w:t>Romanesque Art.</w:t>
      </w:r>
      <w:r>
        <w:rPr>
          <w:rFonts w:asciiTheme="minorHAnsi" w:hAnsiTheme="minorHAnsi"/>
          <w:color w:val="000000" w:themeColor="text1"/>
          <w:shd w:val="clear" w:color="auto" w:fill="FFFFFF"/>
        </w:rPr>
        <w:t xml:space="preserve"> (Prentice Hall, 2003).</w:t>
      </w:r>
    </w:p>
    <w:p w:rsidR="00F30C3F" w:rsidRPr="00F30C3F" w:rsidRDefault="00F30C3F" w:rsidP="00F30C3F">
      <w:pPr>
        <w:pStyle w:val="ListParagraph"/>
        <w:rPr>
          <w:rFonts w:asciiTheme="minorHAnsi" w:hAnsiTheme="minorHAnsi"/>
          <w:color w:val="000000" w:themeColor="text1"/>
          <w:shd w:val="clear" w:color="auto" w:fill="FFFFFF"/>
        </w:rPr>
      </w:pPr>
    </w:p>
    <w:p w:rsidR="00F30C3F" w:rsidRDefault="00C960E1" w:rsidP="00F30C3F">
      <w:pPr>
        <w:pStyle w:val="ListParagraph"/>
        <w:numPr>
          <w:ilvl w:val="0"/>
          <w:numId w:val="5"/>
        </w:numPr>
        <w:ind w:left="360"/>
        <w:rPr>
          <w:rFonts w:asciiTheme="minorHAnsi" w:hAnsiTheme="minorHAnsi"/>
          <w:color w:val="000000" w:themeColor="text1"/>
          <w:shd w:val="clear" w:color="auto" w:fill="FFFFFF"/>
        </w:rPr>
      </w:pPr>
      <w:proofErr w:type="spellStart"/>
      <w:r>
        <w:rPr>
          <w:rFonts w:asciiTheme="minorHAnsi" w:hAnsiTheme="minorHAnsi"/>
          <w:color w:val="000000" w:themeColor="text1"/>
          <w:shd w:val="clear" w:color="auto" w:fill="FFFFFF"/>
        </w:rPr>
        <w:t>Pouncey</w:t>
      </w:r>
      <w:proofErr w:type="spellEnd"/>
      <w:r>
        <w:rPr>
          <w:rFonts w:asciiTheme="minorHAnsi" w:hAnsiTheme="minorHAnsi"/>
          <w:color w:val="000000" w:themeColor="text1"/>
          <w:shd w:val="clear" w:color="auto" w:fill="FFFFFF"/>
        </w:rPr>
        <w:t>, Lorene. “</w:t>
      </w:r>
      <w:proofErr w:type="spellStart"/>
      <w:r>
        <w:rPr>
          <w:rFonts w:asciiTheme="minorHAnsi" w:hAnsiTheme="minorHAnsi"/>
          <w:color w:val="000000" w:themeColor="text1"/>
          <w:shd w:val="clear" w:color="auto" w:fill="FFFFFF"/>
        </w:rPr>
        <w:t>Tumulos</w:t>
      </w:r>
      <w:proofErr w:type="spellEnd"/>
      <w:r>
        <w:rPr>
          <w:rFonts w:asciiTheme="minorHAnsi" w:hAnsiTheme="minorHAnsi"/>
          <w:color w:val="000000" w:themeColor="text1"/>
          <w:shd w:val="clear" w:color="auto" w:fill="FFFFFF"/>
        </w:rPr>
        <w:t xml:space="preserve"> of Colonial Peru.” The Art Bulletin 67, no. 1 (1985): 18-32.</w:t>
      </w:r>
    </w:p>
    <w:p w:rsidR="001560C3" w:rsidRPr="001560C3" w:rsidRDefault="001560C3" w:rsidP="001560C3">
      <w:pPr>
        <w:pStyle w:val="ListParagraph"/>
        <w:rPr>
          <w:rFonts w:asciiTheme="minorHAnsi" w:hAnsiTheme="minorHAnsi"/>
          <w:color w:val="000000" w:themeColor="text1"/>
          <w:shd w:val="clear" w:color="auto" w:fill="FFFFFF"/>
        </w:rPr>
      </w:pPr>
    </w:p>
    <w:p w:rsidR="001560C3" w:rsidRDefault="001560C3" w:rsidP="001560C3">
      <w:pPr>
        <w:pStyle w:val="ListParagraph"/>
        <w:numPr>
          <w:ilvl w:val="0"/>
          <w:numId w:val="5"/>
        </w:numPr>
        <w:spacing w:line="276" w:lineRule="auto"/>
        <w:ind w:left="360"/>
        <w:rPr>
          <w:rFonts w:asciiTheme="minorHAnsi" w:hAnsiTheme="minorHAnsi"/>
          <w:color w:val="000000" w:themeColor="text1"/>
          <w:shd w:val="clear" w:color="auto" w:fill="FFFFFF"/>
        </w:rPr>
      </w:pPr>
      <w:proofErr w:type="spellStart"/>
      <w:r>
        <w:rPr>
          <w:rFonts w:asciiTheme="minorHAnsi" w:hAnsiTheme="minorHAnsi"/>
          <w:color w:val="000000" w:themeColor="text1"/>
          <w:shd w:val="clear" w:color="auto" w:fill="FFFFFF"/>
        </w:rPr>
        <w:t>Tradigo</w:t>
      </w:r>
      <w:proofErr w:type="spellEnd"/>
      <w:r>
        <w:rPr>
          <w:rFonts w:asciiTheme="minorHAnsi" w:hAnsiTheme="minorHAnsi"/>
          <w:color w:val="000000" w:themeColor="text1"/>
          <w:shd w:val="clear" w:color="auto" w:fill="FFFFFF"/>
        </w:rPr>
        <w:t xml:space="preserve">, Alfredo. </w:t>
      </w:r>
      <w:r w:rsidRPr="001560C3">
        <w:rPr>
          <w:rFonts w:asciiTheme="minorHAnsi" w:hAnsiTheme="minorHAnsi"/>
          <w:i/>
          <w:color w:val="000000" w:themeColor="text1"/>
          <w:shd w:val="clear" w:color="auto" w:fill="FFFFFF"/>
        </w:rPr>
        <w:t>Icons and Saints of the Eastern Orthodox Church.</w:t>
      </w:r>
      <w:r>
        <w:rPr>
          <w:rFonts w:asciiTheme="minorHAnsi" w:hAnsiTheme="minorHAnsi"/>
          <w:color w:val="000000" w:themeColor="text1"/>
          <w:shd w:val="clear" w:color="auto" w:fill="FFFFFF"/>
        </w:rPr>
        <w:t xml:space="preserve"> (J. Paul Getty Museum</w:t>
      </w:r>
      <w:r w:rsidRPr="001560C3">
        <w:rPr>
          <w:rFonts w:asciiTheme="minorHAnsi" w:hAnsiTheme="minorHAnsi"/>
          <w:color w:val="000000" w:themeColor="text1"/>
          <w:shd w:val="clear" w:color="auto" w:fill="FFFFFF"/>
        </w:rPr>
        <w:t>, 2006).</w:t>
      </w:r>
    </w:p>
    <w:p w:rsidR="001560C3" w:rsidRPr="001560C3" w:rsidRDefault="001560C3" w:rsidP="001560C3">
      <w:pPr>
        <w:spacing w:after="0"/>
        <w:rPr>
          <w:color w:val="000000" w:themeColor="text1"/>
          <w:shd w:val="clear" w:color="auto" w:fill="FFFFFF"/>
        </w:rPr>
      </w:pPr>
    </w:p>
    <w:p w:rsidR="00CC5E54" w:rsidRDefault="00CC5E54" w:rsidP="001560C3">
      <w:pPr>
        <w:pStyle w:val="ListParagraph"/>
        <w:numPr>
          <w:ilvl w:val="0"/>
          <w:numId w:val="5"/>
        </w:numPr>
        <w:spacing w:line="276" w:lineRule="auto"/>
        <w:ind w:left="360"/>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lastRenderedPageBreak/>
        <w:t>“</w:t>
      </w:r>
      <w:proofErr w:type="spellStart"/>
      <w:r>
        <w:rPr>
          <w:rFonts w:asciiTheme="minorHAnsi" w:hAnsiTheme="minorHAnsi"/>
          <w:color w:val="000000" w:themeColor="text1"/>
          <w:shd w:val="clear" w:color="auto" w:fill="FFFFFF"/>
        </w:rPr>
        <w:t>Zapatos</w:t>
      </w:r>
      <w:proofErr w:type="spellEnd"/>
      <w:r>
        <w:rPr>
          <w:rFonts w:asciiTheme="minorHAnsi" w:hAnsiTheme="minorHAnsi"/>
          <w:color w:val="000000" w:themeColor="text1"/>
          <w:shd w:val="clear" w:color="auto" w:fill="FFFFFF"/>
        </w:rPr>
        <w:t xml:space="preserve">, Marcos.” Oxford Art Online. </w:t>
      </w:r>
      <w:proofErr w:type="gramStart"/>
      <w:r w:rsidRPr="00CC5E54">
        <w:rPr>
          <w:rFonts w:asciiTheme="minorHAnsi" w:hAnsiTheme="minorHAnsi"/>
          <w:color w:val="000000" w:themeColor="text1"/>
          <w:shd w:val="clear" w:color="auto" w:fill="FFFFFF"/>
        </w:rPr>
        <w:t>www.oxfordartonline.com.library.svsu.edu</w:t>
      </w:r>
      <w:proofErr w:type="gramEnd"/>
      <w:r>
        <w:rPr>
          <w:rFonts w:asciiTheme="minorHAnsi" w:hAnsiTheme="minorHAnsi"/>
          <w:color w:val="000000" w:themeColor="text1"/>
          <w:shd w:val="clear" w:color="auto" w:fill="FFFFFF"/>
        </w:rPr>
        <w:t>. December 6, 2012.</w:t>
      </w:r>
    </w:p>
    <w:p w:rsidR="00CC5E54" w:rsidRDefault="00CC5E54" w:rsidP="00CC5E54">
      <w:pPr>
        <w:pStyle w:val="ListParagraph"/>
        <w:ind w:left="360"/>
        <w:rPr>
          <w:rFonts w:asciiTheme="minorHAnsi" w:hAnsiTheme="minorHAnsi"/>
          <w:color w:val="000000" w:themeColor="text1"/>
          <w:shd w:val="clear" w:color="auto" w:fill="FFFFFF"/>
        </w:rPr>
      </w:pPr>
    </w:p>
    <w:sectPr w:rsidR="00CC5E54" w:rsidSect="00ED50EF">
      <w:head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970" w:rsidRDefault="00245970" w:rsidP="009A46E6">
      <w:pPr>
        <w:spacing w:after="0" w:line="240" w:lineRule="auto"/>
      </w:pPr>
      <w:r>
        <w:separator/>
      </w:r>
    </w:p>
  </w:endnote>
  <w:endnote w:type="continuationSeparator" w:id="0">
    <w:p w:rsidR="00245970" w:rsidRDefault="00245970" w:rsidP="009A4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970" w:rsidRDefault="00245970" w:rsidP="009A46E6">
      <w:pPr>
        <w:spacing w:after="0" w:line="240" w:lineRule="auto"/>
      </w:pPr>
      <w:r>
        <w:separator/>
      </w:r>
    </w:p>
  </w:footnote>
  <w:footnote w:type="continuationSeparator" w:id="0">
    <w:p w:rsidR="00245970" w:rsidRDefault="00245970" w:rsidP="009A46E6">
      <w:pPr>
        <w:spacing w:after="0" w:line="240" w:lineRule="auto"/>
      </w:pPr>
      <w:r>
        <w:continuationSeparator/>
      </w:r>
    </w:p>
  </w:footnote>
  <w:footnote w:id="1">
    <w:p w:rsidR="00731B68" w:rsidRDefault="00731B68" w:rsidP="00812BFC">
      <w:pPr>
        <w:pStyle w:val="FootnoteText"/>
      </w:pPr>
      <w:r w:rsidRPr="00731B68">
        <w:rPr>
          <w:rStyle w:val="FootnoteReference"/>
        </w:rPr>
        <w:footnoteRef/>
      </w:r>
      <w:r w:rsidRPr="00731B68">
        <w:t>Kelley Donahue-Wallace,</w:t>
      </w:r>
      <w:r w:rsidRPr="00731B68">
        <w:rPr>
          <w:i/>
        </w:rPr>
        <w:t xml:space="preserve"> Art and Architecture of </w:t>
      </w:r>
      <w:proofErr w:type="spellStart"/>
      <w:r w:rsidRPr="00731B68">
        <w:rPr>
          <w:i/>
        </w:rPr>
        <w:t>Viceregal</w:t>
      </w:r>
      <w:proofErr w:type="spellEnd"/>
      <w:r w:rsidRPr="00731B68">
        <w:rPr>
          <w:i/>
        </w:rPr>
        <w:t xml:space="preserve"> Latin America, 1521-1821</w:t>
      </w:r>
      <w:r w:rsidRPr="00731B68">
        <w:t xml:space="preserve"> </w:t>
      </w:r>
      <w:r>
        <w:t>(</w:t>
      </w:r>
      <w:r w:rsidRPr="00731B68">
        <w:t>NM: Unive</w:t>
      </w:r>
      <w:r>
        <w:t>rsity of New Mexico Press, 2008) 133.</w:t>
      </w:r>
    </w:p>
  </w:footnote>
  <w:footnote w:id="2">
    <w:p w:rsidR="00731B68" w:rsidRDefault="00731B68" w:rsidP="00812BFC">
      <w:pPr>
        <w:pStyle w:val="FootnoteText"/>
      </w:pPr>
      <w:r>
        <w:rPr>
          <w:rStyle w:val="FootnoteReference"/>
        </w:rPr>
        <w:footnoteRef/>
      </w:r>
      <w:r>
        <w:t xml:space="preserve"> Ibid</w:t>
      </w:r>
      <w:r w:rsidR="00D45ACD">
        <w:t>.</w:t>
      </w:r>
    </w:p>
  </w:footnote>
  <w:footnote w:id="3">
    <w:p w:rsidR="00012555" w:rsidRPr="00757C98" w:rsidRDefault="00012555" w:rsidP="00812BFC">
      <w:pPr>
        <w:spacing w:after="0" w:line="240" w:lineRule="auto"/>
        <w:rPr>
          <w:color w:val="000000" w:themeColor="text1"/>
          <w:sz w:val="20"/>
          <w:szCs w:val="20"/>
          <w:shd w:val="clear" w:color="auto" w:fill="FFFFFF"/>
        </w:rPr>
      </w:pPr>
      <w:r w:rsidRPr="00757C98">
        <w:rPr>
          <w:rStyle w:val="FootnoteReference"/>
          <w:sz w:val="20"/>
          <w:szCs w:val="20"/>
        </w:rPr>
        <w:footnoteRef/>
      </w:r>
      <w:r w:rsidRPr="00757C98">
        <w:rPr>
          <w:sz w:val="20"/>
          <w:szCs w:val="20"/>
        </w:rPr>
        <w:t xml:space="preserve"> </w:t>
      </w:r>
      <w:proofErr w:type="gramStart"/>
      <w:r w:rsidRPr="00757C98">
        <w:rPr>
          <w:color w:val="000000" w:themeColor="text1"/>
          <w:sz w:val="20"/>
          <w:szCs w:val="20"/>
          <w:shd w:val="clear" w:color="auto" w:fill="FFFFFF"/>
        </w:rPr>
        <w:t>“Cuzco School,” Oxford Art Online.</w:t>
      </w:r>
      <w:proofErr w:type="gramEnd"/>
      <w:r w:rsidRPr="00757C98">
        <w:rPr>
          <w:color w:val="000000" w:themeColor="text1"/>
          <w:sz w:val="20"/>
          <w:szCs w:val="20"/>
          <w:shd w:val="clear" w:color="auto" w:fill="FFFFFF"/>
        </w:rPr>
        <w:t xml:space="preserve"> www.oxfordartonline.com.library.svsu.edu</w:t>
      </w:r>
      <w:proofErr w:type="gramStart"/>
      <w:r w:rsidRPr="00757C98">
        <w:rPr>
          <w:color w:val="000000" w:themeColor="text1"/>
          <w:sz w:val="20"/>
          <w:szCs w:val="20"/>
          <w:shd w:val="clear" w:color="auto" w:fill="FFFFFF"/>
        </w:rPr>
        <w:t>,.</w:t>
      </w:r>
      <w:proofErr w:type="gramEnd"/>
      <w:r w:rsidRPr="00757C98">
        <w:rPr>
          <w:color w:val="000000" w:themeColor="text1"/>
          <w:sz w:val="20"/>
          <w:szCs w:val="20"/>
          <w:shd w:val="clear" w:color="auto" w:fill="FFFFFF"/>
        </w:rPr>
        <w:t xml:space="preserve"> December 6, 2012.</w:t>
      </w:r>
    </w:p>
  </w:footnote>
  <w:footnote w:id="4">
    <w:p w:rsidR="00757C98" w:rsidRPr="00757C98" w:rsidRDefault="00757C98" w:rsidP="00812BFC">
      <w:pPr>
        <w:spacing w:after="0" w:line="240" w:lineRule="auto"/>
        <w:rPr>
          <w:sz w:val="20"/>
          <w:szCs w:val="20"/>
        </w:rPr>
      </w:pPr>
      <w:r w:rsidRPr="00757C98">
        <w:rPr>
          <w:rStyle w:val="FootnoteReference"/>
          <w:sz w:val="20"/>
          <w:szCs w:val="20"/>
        </w:rPr>
        <w:footnoteRef/>
      </w:r>
      <w:r w:rsidRPr="00757C98">
        <w:rPr>
          <w:sz w:val="20"/>
          <w:szCs w:val="20"/>
        </w:rPr>
        <w:t xml:space="preserve"> Emily Kelly, Course 304 Lectures, Saginaw Valley State University, 2012.</w:t>
      </w:r>
    </w:p>
  </w:footnote>
  <w:footnote w:id="5">
    <w:p w:rsidR="006F4F6E" w:rsidRPr="006F4F6E" w:rsidRDefault="006F4F6E" w:rsidP="00812BFC">
      <w:pPr>
        <w:spacing w:after="0" w:line="240" w:lineRule="auto"/>
        <w:outlineLvl w:val="0"/>
        <w:rPr>
          <w:color w:val="000000"/>
          <w:kern w:val="36"/>
          <w:sz w:val="20"/>
          <w:szCs w:val="20"/>
        </w:rPr>
      </w:pPr>
      <w:r w:rsidRPr="006F4F6E">
        <w:rPr>
          <w:rStyle w:val="FootnoteReference"/>
          <w:sz w:val="20"/>
          <w:szCs w:val="20"/>
        </w:rPr>
        <w:footnoteRef/>
      </w:r>
      <w:r w:rsidRPr="006F4F6E">
        <w:rPr>
          <w:sz w:val="20"/>
          <w:szCs w:val="20"/>
        </w:rPr>
        <w:t xml:space="preserve"> </w:t>
      </w:r>
      <w:proofErr w:type="spellStart"/>
      <w:r w:rsidRPr="006F4F6E">
        <w:rPr>
          <w:color w:val="000000"/>
          <w:kern w:val="36"/>
          <w:sz w:val="20"/>
          <w:szCs w:val="20"/>
        </w:rPr>
        <w:t>Gauvin</w:t>
      </w:r>
      <w:proofErr w:type="spellEnd"/>
      <w:r w:rsidRPr="006F4F6E">
        <w:rPr>
          <w:color w:val="000000"/>
          <w:kern w:val="36"/>
          <w:sz w:val="20"/>
          <w:szCs w:val="20"/>
        </w:rPr>
        <w:t xml:space="preserve"> Alexander Bailey, “Indian Conquest of Catholic Art: The Mughals, the Jesuits, and Imperial Mural Painting,”</w:t>
      </w:r>
      <w:r w:rsidRPr="006F4F6E">
        <w:rPr>
          <w:i/>
          <w:color w:val="000000"/>
          <w:kern w:val="36"/>
          <w:sz w:val="20"/>
          <w:szCs w:val="20"/>
        </w:rPr>
        <w:t xml:space="preserve"> Art Journal</w:t>
      </w:r>
      <w:r w:rsidRPr="006F4F6E">
        <w:rPr>
          <w:color w:val="000000"/>
          <w:kern w:val="36"/>
          <w:sz w:val="20"/>
          <w:szCs w:val="20"/>
        </w:rPr>
        <w:t xml:space="preserve"> 57, no. 1 (1998): 24-30.</w:t>
      </w:r>
    </w:p>
    <w:p w:rsidR="006F4F6E" w:rsidRDefault="006F4F6E" w:rsidP="00812BFC">
      <w:pPr>
        <w:pStyle w:val="FootnoteText"/>
      </w:pPr>
    </w:p>
  </w:footnote>
  <w:footnote w:id="6">
    <w:p w:rsidR="003D0D0B" w:rsidRPr="003F3532" w:rsidRDefault="003D0D0B" w:rsidP="00812BFC">
      <w:pPr>
        <w:pStyle w:val="FootnoteText"/>
      </w:pPr>
      <w:r w:rsidRPr="003F3532">
        <w:rPr>
          <w:rStyle w:val="FootnoteReference"/>
        </w:rPr>
        <w:footnoteRef/>
      </w:r>
      <w:r w:rsidRPr="003F3532">
        <w:t xml:space="preserve"> </w:t>
      </w:r>
      <w:proofErr w:type="spellStart"/>
      <w:r w:rsidRPr="003F3532">
        <w:rPr>
          <w:color w:val="000000"/>
          <w:kern w:val="36"/>
        </w:rPr>
        <w:t>Gauvin</w:t>
      </w:r>
      <w:proofErr w:type="spellEnd"/>
      <w:r w:rsidRPr="003F3532">
        <w:rPr>
          <w:color w:val="000000"/>
          <w:kern w:val="36"/>
        </w:rPr>
        <w:t xml:space="preserve"> Alexander Bailey, 24-30.</w:t>
      </w:r>
    </w:p>
  </w:footnote>
  <w:footnote w:id="7">
    <w:p w:rsidR="00D45ACD" w:rsidRDefault="00D45ACD" w:rsidP="00812BFC">
      <w:pPr>
        <w:pStyle w:val="FootnoteText"/>
      </w:pPr>
      <w:r>
        <w:rPr>
          <w:rStyle w:val="FootnoteReference"/>
        </w:rPr>
        <w:footnoteRef/>
      </w:r>
      <w:r>
        <w:t xml:space="preserve"> </w:t>
      </w:r>
      <w:r w:rsidRPr="003F3532">
        <w:t>Kelley Donahue-Wallace,</w:t>
      </w:r>
      <w:r>
        <w:rPr>
          <w:i/>
        </w:rPr>
        <w:t xml:space="preserve"> </w:t>
      </w:r>
      <w:r>
        <w:t>140.</w:t>
      </w:r>
    </w:p>
  </w:footnote>
  <w:footnote w:id="8">
    <w:p w:rsidR="00C91E1A" w:rsidRPr="003F3532" w:rsidRDefault="00C91E1A" w:rsidP="00812BFC">
      <w:pPr>
        <w:pStyle w:val="FootnoteText"/>
      </w:pPr>
      <w:r w:rsidRPr="003F3532">
        <w:rPr>
          <w:rStyle w:val="FootnoteReference"/>
        </w:rPr>
        <w:footnoteRef/>
      </w:r>
      <w:r w:rsidR="00D45ACD">
        <w:t xml:space="preserve"> </w:t>
      </w:r>
      <w:r w:rsidRPr="003F3532">
        <w:t>Kelley Donahue-Wallace,</w:t>
      </w:r>
      <w:r w:rsidRPr="003F3532">
        <w:rPr>
          <w:i/>
        </w:rPr>
        <w:t xml:space="preserve"> </w:t>
      </w:r>
      <w:r w:rsidRPr="003F3532">
        <w:t>148.</w:t>
      </w:r>
    </w:p>
  </w:footnote>
  <w:footnote w:id="9">
    <w:p w:rsidR="00DA20B2" w:rsidRPr="003F3532" w:rsidRDefault="00DA20B2" w:rsidP="00812BFC">
      <w:pPr>
        <w:pStyle w:val="FootnoteText"/>
      </w:pPr>
      <w:r w:rsidRPr="003F3532">
        <w:rPr>
          <w:rStyle w:val="FootnoteReference"/>
        </w:rPr>
        <w:footnoteRef/>
      </w:r>
      <w:r w:rsidRPr="003F3532">
        <w:t xml:space="preserve"> Ibid.</w:t>
      </w:r>
    </w:p>
  </w:footnote>
  <w:footnote w:id="10">
    <w:p w:rsidR="003F3532" w:rsidRPr="003F3532" w:rsidRDefault="003F3532" w:rsidP="00812BFC">
      <w:pPr>
        <w:spacing w:after="0" w:line="240" w:lineRule="auto"/>
        <w:rPr>
          <w:color w:val="000000" w:themeColor="text1"/>
          <w:shd w:val="clear" w:color="auto" w:fill="FFFFFF"/>
        </w:rPr>
      </w:pPr>
      <w:r w:rsidRPr="003F3532">
        <w:rPr>
          <w:rStyle w:val="FootnoteReference"/>
          <w:sz w:val="20"/>
          <w:szCs w:val="20"/>
        </w:rPr>
        <w:footnoteRef/>
      </w:r>
      <w:r w:rsidRPr="003F3532">
        <w:rPr>
          <w:sz w:val="20"/>
          <w:szCs w:val="20"/>
        </w:rPr>
        <w:t xml:space="preserve"> </w:t>
      </w:r>
      <w:r w:rsidRPr="003F3532">
        <w:rPr>
          <w:color w:val="000000" w:themeColor="text1"/>
          <w:sz w:val="20"/>
          <w:szCs w:val="20"/>
          <w:shd w:val="clear" w:color="auto" w:fill="FFFFFF"/>
        </w:rPr>
        <w:t xml:space="preserve">Kenneth </w:t>
      </w:r>
      <w:r>
        <w:rPr>
          <w:color w:val="000000" w:themeColor="text1"/>
          <w:sz w:val="20"/>
          <w:szCs w:val="20"/>
          <w:shd w:val="clear" w:color="auto" w:fill="FFFFFF"/>
        </w:rPr>
        <w:t>Mills,</w:t>
      </w:r>
      <w:r w:rsidRPr="003F3532">
        <w:rPr>
          <w:color w:val="000000" w:themeColor="text1"/>
          <w:sz w:val="20"/>
          <w:szCs w:val="20"/>
          <w:shd w:val="clear" w:color="auto" w:fill="FFFFFF"/>
        </w:rPr>
        <w:t xml:space="preserve"> “The Limits of Religiou</w:t>
      </w:r>
      <w:r>
        <w:rPr>
          <w:color w:val="000000" w:themeColor="text1"/>
          <w:sz w:val="20"/>
          <w:szCs w:val="20"/>
          <w:shd w:val="clear" w:color="auto" w:fill="FFFFFF"/>
        </w:rPr>
        <w:t>s Coercion in Mid-Colonial Peru,</w:t>
      </w:r>
      <w:r w:rsidRPr="003F3532">
        <w:rPr>
          <w:color w:val="000000" w:themeColor="text1"/>
          <w:sz w:val="20"/>
          <w:szCs w:val="20"/>
          <w:shd w:val="clear" w:color="auto" w:fill="FFFFFF"/>
        </w:rPr>
        <w:t xml:space="preserve">” </w:t>
      </w:r>
      <w:r w:rsidRPr="003F3532">
        <w:rPr>
          <w:i/>
          <w:color w:val="000000" w:themeColor="text1"/>
          <w:sz w:val="20"/>
          <w:szCs w:val="20"/>
          <w:shd w:val="clear" w:color="auto" w:fill="FFFFFF"/>
        </w:rPr>
        <w:t>Past &amp; Present</w:t>
      </w:r>
      <w:r w:rsidRPr="003F3532">
        <w:rPr>
          <w:color w:val="000000" w:themeColor="text1"/>
          <w:sz w:val="20"/>
          <w:szCs w:val="20"/>
          <w:shd w:val="clear" w:color="auto" w:fill="FFFFFF"/>
        </w:rPr>
        <w:t>, no. 145 (1994): 84-121.</w:t>
      </w:r>
    </w:p>
  </w:footnote>
  <w:footnote w:id="11">
    <w:p w:rsidR="003157BE" w:rsidRDefault="003157BE" w:rsidP="00812BFC">
      <w:pPr>
        <w:pStyle w:val="FootnoteText"/>
      </w:pPr>
      <w:r>
        <w:rPr>
          <w:rStyle w:val="FootnoteReference"/>
        </w:rPr>
        <w:footnoteRef/>
      </w:r>
      <w:r>
        <w:t xml:space="preserve"> </w:t>
      </w:r>
      <w:r w:rsidRPr="003F3532">
        <w:t>Kelley Donahue-Wallace,</w:t>
      </w:r>
      <w:r>
        <w:t xml:space="preserve"> 154.</w:t>
      </w:r>
    </w:p>
  </w:footnote>
  <w:footnote w:id="12">
    <w:p w:rsidR="00DA52CC" w:rsidRDefault="00DA52CC" w:rsidP="00812BFC">
      <w:pPr>
        <w:pStyle w:val="FootnoteText"/>
      </w:pPr>
      <w:r>
        <w:rPr>
          <w:rStyle w:val="FootnoteReference"/>
        </w:rPr>
        <w:footnoteRef/>
      </w:r>
      <w:r>
        <w:t xml:space="preserve"> Ibid.</w:t>
      </w:r>
    </w:p>
  </w:footnote>
  <w:footnote w:id="13">
    <w:p w:rsidR="00F70DA5" w:rsidRDefault="00F70DA5" w:rsidP="00812BFC">
      <w:pPr>
        <w:pStyle w:val="FootnoteText"/>
      </w:pPr>
      <w:r>
        <w:rPr>
          <w:rStyle w:val="FootnoteReference"/>
        </w:rPr>
        <w:footnoteRef/>
      </w:r>
      <w:r>
        <w:t xml:space="preserve"> </w:t>
      </w:r>
      <w:proofErr w:type="spellStart"/>
      <w:r w:rsidRPr="003F3532">
        <w:rPr>
          <w:color w:val="000000"/>
          <w:kern w:val="36"/>
        </w:rPr>
        <w:t>Gauvin</w:t>
      </w:r>
      <w:proofErr w:type="spellEnd"/>
      <w:r w:rsidRPr="003F3532">
        <w:rPr>
          <w:color w:val="000000"/>
          <w:kern w:val="36"/>
        </w:rPr>
        <w:t xml:space="preserve"> Alexander Bailey, 24-30</w:t>
      </w:r>
      <w:r>
        <w:rPr>
          <w:color w:val="000000"/>
          <w:kern w:val="36"/>
        </w:rPr>
        <w:t>.</w:t>
      </w:r>
    </w:p>
  </w:footnote>
  <w:footnote w:id="14">
    <w:p w:rsidR="00740E23" w:rsidRPr="00740E23" w:rsidRDefault="00740E23" w:rsidP="00812BFC">
      <w:pPr>
        <w:spacing w:after="0" w:line="240" w:lineRule="auto"/>
        <w:rPr>
          <w:color w:val="000000" w:themeColor="text1"/>
          <w:sz w:val="20"/>
          <w:szCs w:val="20"/>
          <w:shd w:val="clear" w:color="auto" w:fill="FFFFFF"/>
        </w:rPr>
      </w:pPr>
      <w:r w:rsidRPr="00740E23">
        <w:rPr>
          <w:rStyle w:val="FootnoteReference"/>
          <w:sz w:val="20"/>
          <w:szCs w:val="20"/>
        </w:rPr>
        <w:footnoteRef/>
      </w:r>
      <w:r w:rsidRPr="00740E23">
        <w:rPr>
          <w:sz w:val="20"/>
          <w:szCs w:val="20"/>
        </w:rPr>
        <w:t xml:space="preserve"> </w:t>
      </w:r>
      <w:r w:rsidRPr="00740E23">
        <w:rPr>
          <w:color w:val="000000" w:themeColor="text1"/>
          <w:sz w:val="20"/>
          <w:szCs w:val="20"/>
          <w:shd w:val="clear" w:color="auto" w:fill="FFFFFF"/>
        </w:rPr>
        <w:t xml:space="preserve">Fred </w:t>
      </w:r>
      <w:proofErr w:type="spellStart"/>
      <w:r w:rsidRPr="00740E23">
        <w:rPr>
          <w:color w:val="000000" w:themeColor="text1"/>
          <w:sz w:val="20"/>
          <w:szCs w:val="20"/>
          <w:shd w:val="clear" w:color="auto" w:fill="FFFFFF"/>
        </w:rPr>
        <w:t>Kleiner</w:t>
      </w:r>
      <w:proofErr w:type="spellEnd"/>
      <w:r w:rsidRPr="00740E23">
        <w:rPr>
          <w:color w:val="000000" w:themeColor="text1"/>
          <w:sz w:val="20"/>
          <w:szCs w:val="20"/>
          <w:shd w:val="clear" w:color="auto" w:fill="FFFFFF"/>
        </w:rPr>
        <w:t xml:space="preserve">, </w:t>
      </w:r>
      <w:r w:rsidRPr="00740E23">
        <w:rPr>
          <w:i/>
          <w:color w:val="000000" w:themeColor="text1"/>
          <w:sz w:val="20"/>
          <w:szCs w:val="20"/>
          <w:shd w:val="clear" w:color="auto" w:fill="FFFFFF"/>
        </w:rPr>
        <w:t xml:space="preserve">Gardner’s Art </w:t>
      </w:r>
      <w:proofErr w:type="gramStart"/>
      <w:r w:rsidRPr="00740E23">
        <w:rPr>
          <w:i/>
          <w:color w:val="000000" w:themeColor="text1"/>
          <w:sz w:val="20"/>
          <w:szCs w:val="20"/>
          <w:shd w:val="clear" w:color="auto" w:fill="FFFFFF"/>
        </w:rPr>
        <w:t>Through</w:t>
      </w:r>
      <w:proofErr w:type="gramEnd"/>
      <w:r w:rsidRPr="00740E23">
        <w:rPr>
          <w:i/>
          <w:color w:val="000000" w:themeColor="text1"/>
          <w:sz w:val="20"/>
          <w:szCs w:val="20"/>
          <w:shd w:val="clear" w:color="auto" w:fill="FFFFFF"/>
        </w:rPr>
        <w:t xml:space="preserve"> the Ages: A Global History</w:t>
      </w:r>
      <w:r w:rsidRPr="00740E23">
        <w:rPr>
          <w:color w:val="000000" w:themeColor="text1"/>
          <w:sz w:val="20"/>
          <w:szCs w:val="20"/>
          <w:shd w:val="clear" w:color="auto" w:fill="FFFFFF"/>
        </w:rPr>
        <w:t>, CA: Wadsworth Publishing, 2010.</w:t>
      </w:r>
    </w:p>
  </w:footnote>
  <w:footnote w:id="15">
    <w:p w:rsidR="00740E23" w:rsidRDefault="00740E23" w:rsidP="00812BFC">
      <w:pPr>
        <w:pStyle w:val="FootnoteText"/>
      </w:pPr>
      <w:r>
        <w:rPr>
          <w:rStyle w:val="FootnoteReference"/>
        </w:rPr>
        <w:footnoteRef/>
      </w:r>
      <w:r>
        <w:t xml:space="preserve"> </w:t>
      </w:r>
      <w:r w:rsidR="00575DD6">
        <w:t xml:space="preserve">Regis Martin, </w:t>
      </w:r>
      <w:r w:rsidR="00575DD6" w:rsidRPr="00575DD6">
        <w:rPr>
          <w:i/>
        </w:rPr>
        <w:t xml:space="preserve">The Last Things: Death, </w:t>
      </w:r>
      <w:proofErr w:type="spellStart"/>
      <w:r w:rsidR="00575DD6" w:rsidRPr="00575DD6">
        <w:rPr>
          <w:i/>
        </w:rPr>
        <w:t>Judgement</w:t>
      </w:r>
      <w:proofErr w:type="spellEnd"/>
      <w:r w:rsidR="00575DD6" w:rsidRPr="00575DD6">
        <w:rPr>
          <w:i/>
        </w:rPr>
        <w:t>, Hell, Heaven</w:t>
      </w:r>
      <w:r w:rsidR="00575DD6">
        <w:t xml:space="preserve"> (Ignatius Press, 1998); Andrea </w:t>
      </w:r>
      <w:proofErr w:type="spellStart"/>
      <w:r w:rsidR="00575DD6">
        <w:t>Petzold</w:t>
      </w:r>
      <w:proofErr w:type="spellEnd"/>
      <w:r w:rsidR="00575DD6">
        <w:t xml:space="preserve">, </w:t>
      </w:r>
      <w:r w:rsidR="00575DD6" w:rsidRPr="00575DD6">
        <w:rPr>
          <w:i/>
        </w:rPr>
        <w:t>Romanesque Art</w:t>
      </w:r>
      <w:r w:rsidR="00575DD6">
        <w:t xml:space="preserve"> (Prentice Hall, 2003).</w:t>
      </w:r>
    </w:p>
  </w:footnote>
  <w:footnote w:id="16">
    <w:p w:rsidR="001560C3" w:rsidRDefault="001560C3" w:rsidP="00812BFC">
      <w:pPr>
        <w:pStyle w:val="FootnoteText"/>
      </w:pPr>
      <w:r>
        <w:rPr>
          <w:rStyle w:val="FootnoteReference"/>
        </w:rPr>
        <w:footnoteRef/>
      </w:r>
      <w:r>
        <w:t xml:space="preserve"> </w:t>
      </w:r>
      <w:proofErr w:type="gramStart"/>
      <w:r>
        <w:t xml:space="preserve">Alfredo </w:t>
      </w:r>
      <w:proofErr w:type="spellStart"/>
      <w:r>
        <w:t>Tradigo</w:t>
      </w:r>
      <w:proofErr w:type="spellEnd"/>
      <w:r w:rsidRPr="001560C3">
        <w:rPr>
          <w:i/>
        </w:rPr>
        <w:t>, Icons and Saints of the Eastern Orthodox Church</w:t>
      </w:r>
      <w:r>
        <w:t>, (J. Paul Getty Museum, 2006) 188.</w:t>
      </w:r>
      <w:proofErr w:type="gramEnd"/>
    </w:p>
  </w:footnote>
  <w:footnote w:id="17">
    <w:p w:rsidR="00085AD2" w:rsidRDefault="00085AD2" w:rsidP="00812BFC">
      <w:pPr>
        <w:pStyle w:val="FootnoteText"/>
      </w:pPr>
      <w:r>
        <w:rPr>
          <w:rStyle w:val="FootnoteReference"/>
        </w:rPr>
        <w:footnoteRef/>
      </w:r>
      <w:r>
        <w:t xml:space="preserve"> Alfredo </w:t>
      </w:r>
      <w:proofErr w:type="spellStart"/>
      <w:r>
        <w:t>Tradigo</w:t>
      </w:r>
      <w:proofErr w:type="spellEnd"/>
      <w:proofErr w:type="gramStart"/>
      <w:r w:rsidRPr="001560C3">
        <w:rPr>
          <w:i/>
        </w:rPr>
        <w:t xml:space="preserve">, </w:t>
      </w:r>
      <w:r>
        <w:t xml:space="preserve"> 188</w:t>
      </w:r>
      <w:proofErr w:type="gramEnd"/>
      <w:r>
        <w:t>.</w:t>
      </w:r>
    </w:p>
  </w:footnote>
  <w:footnote w:id="18">
    <w:p w:rsidR="00994110" w:rsidRPr="00994110" w:rsidRDefault="00994110" w:rsidP="00994110">
      <w:pPr>
        <w:pStyle w:val="FootnoteText"/>
      </w:pPr>
      <w:r w:rsidRPr="00994110">
        <w:rPr>
          <w:rStyle w:val="FootnoteReference"/>
        </w:rPr>
        <w:footnoteRef/>
      </w:r>
      <w:r w:rsidRPr="00994110">
        <w:t xml:space="preserve"> </w:t>
      </w:r>
      <w:r w:rsidRPr="00994110">
        <w:t>Laurent</w:t>
      </w:r>
      <w:r w:rsidRPr="00994110">
        <w:t xml:space="preserve"> Dubois,</w:t>
      </w:r>
      <w:r w:rsidRPr="00994110">
        <w:t xml:space="preserve"> “The Price of Liberty: Victor </w:t>
      </w:r>
      <w:proofErr w:type="spellStart"/>
      <w:r w:rsidRPr="00994110">
        <w:t>Hugues</w:t>
      </w:r>
      <w:proofErr w:type="spellEnd"/>
      <w:r w:rsidRPr="00994110">
        <w:t xml:space="preserve"> and the Administration of F</w:t>
      </w:r>
      <w:r>
        <w:t>reedom in Guadeloupe, 1794-17</w:t>
      </w:r>
      <w:r w:rsidRPr="00994110">
        <w:t>98,</w:t>
      </w:r>
      <w:r w:rsidRPr="00994110">
        <w:t xml:space="preserve">” </w:t>
      </w:r>
      <w:r w:rsidRPr="00994110">
        <w:rPr>
          <w:i/>
        </w:rPr>
        <w:t>The William and Mary Quarterly</w:t>
      </w:r>
      <w:r w:rsidRPr="00994110">
        <w:t xml:space="preserve"> 56, no. 2 (1999): 363-392.</w:t>
      </w:r>
    </w:p>
  </w:footnote>
  <w:footnote w:id="19">
    <w:p w:rsidR="00ED4A06" w:rsidRDefault="00ED4A06">
      <w:pPr>
        <w:pStyle w:val="FootnoteText"/>
      </w:pPr>
      <w:r>
        <w:rPr>
          <w:rStyle w:val="FootnoteReference"/>
        </w:rPr>
        <w:footnoteRef/>
      </w:r>
      <w:r>
        <w:t xml:space="preserve"> Ibid.</w:t>
      </w:r>
    </w:p>
  </w:footnote>
  <w:footnote w:id="20">
    <w:p w:rsidR="00ED4A06" w:rsidRPr="00ED4A06" w:rsidRDefault="00ED4A06" w:rsidP="00ED4A06">
      <w:pPr>
        <w:spacing w:after="0" w:line="240" w:lineRule="auto"/>
        <w:rPr>
          <w:color w:val="000000" w:themeColor="text1"/>
          <w:shd w:val="clear" w:color="auto" w:fill="FFFFFF"/>
        </w:rPr>
      </w:pPr>
      <w:r>
        <w:rPr>
          <w:rStyle w:val="FootnoteReference"/>
        </w:rPr>
        <w:footnoteRef/>
      </w:r>
      <w:r>
        <w:t xml:space="preserve"> </w:t>
      </w:r>
      <w:r w:rsidRPr="003F3532">
        <w:rPr>
          <w:color w:val="000000" w:themeColor="text1"/>
          <w:sz w:val="20"/>
          <w:szCs w:val="20"/>
          <w:shd w:val="clear" w:color="auto" w:fill="FFFFFF"/>
        </w:rPr>
        <w:t xml:space="preserve">Kenneth </w:t>
      </w:r>
      <w:r>
        <w:rPr>
          <w:color w:val="000000" w:themeColor="text1"/>
          <w:sz w:val="20"/>
          <w:szCs w:val="20"/>
          <w:shd w:val="clear" w:color="auto" w:fill="FFFFFF"/>
        </w:rPr>
        <w:t>Mills,</w:t>
      </w:r>
      <w:r w:rsidRPr="003F3532">
        <w:rPr>
          <w:color w:val="000000" w:themeColor="text1"/>
          <w:sz w:val="20"/>
          <w:szCs w:val="20"/>
          <w:shd w:val="clear" w:color="auto" w:fill="FFFFFF"/>
        </w:rPr>
        <w:t xml:space="preserve"> 84-121.</w:t>
      </w:r>
    </w:p>
  </w:footnote>
  <w:footnote w:id="21">
    <w:p w:rsidR="00602D22" w:rsidRPr="00740E23" w:rsidRDefault="00602D22" w:rsidP="00812BFC">
      <w:pPr>
        <w:spacing w:after="0" w:line="240" w:lineRule="auto"/>
        <w:rPr>
          <w:color w:val="000000" w:themeColor="text1"/>
          <w:sz w:val="20"/>
          <w:szCs w:val="20"/>
          <w:shd w:val="clear" w:color="auto" w:fill="FFFFFF"/>
        </w:rPr>
      </w:pPr>
      <w:r w:rsidRPr="00740E23">
        <w:rPr>
          <w:rStyle w:val="FootnoteReference"/>
          <w:sz w:val="20"/>
          <w:szCs w:val="20"/>
        </w:rPr>
        <w:footnoteRef/>
      </w:r>
      <w:r w:rsidRPr="00740E23">
        <w:rPr>
          <w:sz w:val="20"/>
          <w:szCs w:val="20"/>
        </w:rPr>
        <w:t xml:space="preserve"> </w:t>
      </w:r>
      <w:proofErr w:type="gramStart"/>
      <w:r w:rsidRPr="00740E23">
        <w:rPr>
          <w:color w:val="000000" w:themeColor="text1"/>
          <w:sz w:val="20"/>
          <w:szCs w:val="20"/>
          <w:shd w:val="clear" w:color="auto" w:fill="FFFFFF"/>
        </w:rPr>
        <w:t xml:space="preserve">Luis Nieto </w:t>
      </w:r>
      <w:proofErr w:type="spellStart"/>
      <w:r w:rsidRPr="00740E23">
        <w:rPr>
          <w:color w:val="000000" w:themeColor="text1"/>
          <w:sz w:val="20"/>
          <w:szCs w:val="20"/>
          <w:shd w:val="clear" w:color="auto" w:fill="FFFFFF"/>
        </w:rPr>
        <w:t>Degregori</w:t>
      </w:r>
      <w:proofErr w:type="spellEnd"/>
      <w:r w:rsidRPr="00740E23">
        <w:rPr>
          <w:color w:val="000000" w:themeColor="text1"/>
          <w:sz w:val="20"/>
          <w:szCs w:val="20"/>
          <w:shd w:val="clear" w:color="auto" w:fill="FFFFFF"/>
        </w:rPr>
        <w:t xml:space="preserve">, “The Captain and the Inca Princess in the Jesuit Church,” </w:t>
      </w:r>
      <w:proofErr w:type="spellStart"/>
      <w:r w:rsidRPr="00740E23">
        <w:rPr>
          <w:color w:val="000000" w:themeColor="text1"/>
          <w:sz w:val="20"/>
          <w:szCs w:val="20"/>
          <w:shd w:val="clear" w:color="auto" w:fill="FFFFFF"/>
        </w:rPr>
        <w:t>Bienvenida</w:t>
      </w:r>
      <w:proofErr w:type="spellEnd"/>
      <w:r w:rsidRPr="00740E23">
        <w:rPr>
          <w:color w:val="000000" w:themeColor="text1"/>
          <w:sz w:val="20"/>
          <w:szCs w:val="20"/>
          <w:shd w:val="clear" w:color="auto" w:fill="FFFFFF"/>
        </w:rPr>
        <w:t xml:space="preserve"> Editors, http://www.bienvenidaperu.com.</w:t>
      </w:r>
      <w:proofErr w:type="gramEnd"/>
      <w:r w:rsidRPr="00740E23">
        <w:rPr>
          <w:color w:val="000000" w:themeColor="text1"/>
          <w:sz w:val="20"/>
          <w:szCs w:val="20"/>
          <w:shd w:val="clear" w:color="auto" w:fill="FFFFFF"/>
        </w:rPr>
        <w:t xml:space="preserve"> December 6, 2012.</w:t>
      </w:r>
    </w:p>
  </w:footnote>
  <w:footnote w:id="22">
    <w:p w:rsidR="00753332" w:rsidRPr="00753332" w:rsidRDefault="00753332" w:rsidP="00812BFC">
      <w:pPr>
        <w:spacing w:after="0" w:line="240" w:lineRule="auto"/>
        <w:outlineLvl w:val="0"/>
        <w:rPr>
          <w:color w:val="000000"/>
          <w:kern w:val="36"/>
          <w:sz w:val="20"/>
          <w:szCs w:val="20"/>
        </w:rPr>
      </w:pPr>
      <w:r w:rsidRPr="00753332">
        <w:rPr>
          <w:rStyle w:val="FootnoteReference"/>
          <w:sz w:val="20"/>
          <w:szCs w:val="20"/>
        </w:rPr>
        <w:footnoteRef/>
      </w:r>
      <w:r w:rsidRPr="00753332">
        <w:rPr>
          <w:sz w:val="20"/>
          <w:szCs w:val="20"/>
        </w:rPr>
        <w:t xml:space="preserve"> </w:t>
      </w:r>
      <w:r w:rsidRPr="00753332">
        <w:rPr>
          <w:color w:val="000000"/>
          <w:kern w:val="36"/>
          <w:sz w:val="20"/>
          <w:szCs w:val="20"/>
        </w:rPr>
        <w:t>David Cahill, “</w:t>
      </w:r>
      <w:proofErr w:type="spellStart"/>
      <w:r w:rsidRPr="00753332">
        <w:rPr>
          <w:color w:val="000000"/>
          <w:kern w:val="36"/>
          <w:sz w:val="20"/>
          <w:szCs w:val="20"/>
        </w:rPr>
        <w:t>Colour</w:t>
      </w:r>
      <w:proofErr w:type="spellEnd"/>
      <w:r w:rsidRPr="00753332">
        <w:rPr>
          <w:color w:val="000000"/>
          <w:kern w:val="36"/>
          <w:sz w:val="20"/>
          <w:szCs w:val="20"/>
        </w:rPr>
        <w:t xml:space="preserve"> by Numbers: Racial and Ethnic Categories in the Viceroyalty of Peru, 1532-1824,” </w:t>
      </w:r>
      <w:r w:rsidRPr="00753332">
        <w:rPr>
          <w:i/>
          <w:color w:val="000000"/>
          <w:kern w:val="36"/>
          <w:sz w:val="20"/>
          <w:szCs w:val="20"/>
        </w:rPr>
        <w:t>Journal of Latin American Studies</w:t>
      </w:r>
      <w:r w:rsidRPr="00753332">
        <w:rPr>
          <w:color w:val="000000"/>
          <w:kern w:val="36"/>
          <w:sz w:val="20"/>
          <w:szCs w:val="20"/>
        </w:rPr>
        <w:t xml:space="preserve"> 26, no. 2 (1994): 325-346.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093A" w:rsidRDefault="00191D80">
    <w:pPr>
      <w:pStyle w:val="Header"/>
      <w:jc w:val="right"/>
    </w:pPr>
    <w:r>
      <w:fldChar w:fldCharType="begin"/>
    </w:r>
    <w:r>
      <w:instrText xml:space="preserve"> PAGE   \* MERGEFORMAT </w:instrText>
    </w:r>
    <w:r>
      <w:fldChar w:fldCharType="separate"/>
    </w:r>
    <w:r w:rsidR="00ED4A06">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37A86"/>
    <w:multiLevelType w:val="hybridMultilevel"/>
    <w:tmpl w:val="792C0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3D7CA5"/>
    <w:multiLevelType w:val="hybridMultilevel"/>
    <w:tmpl w:val="3824183A"/>
    <w:lvl w:ilvl="0" w:tplc="E830134E">
      <w:start w:val="1"/>
      <w:numFmt w:val="bullet"/>
      <w:lvlText w:val="–"/>
      <w:lvlJc w:val="left"/>
      <w:pPr>
        <w:tabs>
          <w:tab w:val="num" w:pos="720"/>
        </w:tabs>
        <w:ind w:left="720" w:hanging="360"/>
      </w:pPr>
      <w:rPr>
        <w:rFonts w:ascii="Arial" w:hAnsi="Arial" w:hint="default"/>
      </w:rPr>
    </w:lvl>
    <w:lvl w:ilvl="1" w:tplc="0DFAAEE2">
      <w:start w:val="1"/>
      <w:numFmt w:val="bullet"/>
      <w:lvlText w:val="–"/>
      <w:lvlJc w:val="left"/>
      <w:pPr>
        <w:tabs>
          <w:tab w:val="num" w:pos="1440"/>
        </w:tabs>
        <w:ind w:left="1440" w:hanging="360"/>
      </w:pPr>
      <w:rPr>
        <w:rFonts w:ascii="Arial" w:hAnsi="Arial" w:hint="default"/>
      </w:rPr>
    </w:lvl>
    <w:lvl w:ilvl="2" w:tplc="8598A14A" w:tentative="1">
      <w:start w:val="1"/>
      <w:numFmt w:val="bullet"/>
      <w:lvlText w:val="–"/>
      <w:lvlJc w:val="left"/>
      <w:pPr>
        <w:tabs>
          <w:tab w:val="num" w:pos="2160"/>
        </w:tabs>
        <w:ind w:left="2160" w:hanging="360"/>
      </w:pPr>
      <w:rPr>
        <w:rFonts w:ascii="Arial" w:hAnsi="Arial" w:hint="default"/>
      </w:rPr>
    </w:lvl>
    <w:lvl w:ilvl="3" w:tplc="01FC9C4A" w:tentative="1">
      <w:start w:val="1"/>
      <w:numFmt w:val="bullet"/>
      <w:lvlText w:val="–"/>
      <w:lvlJc w:val="left"/>
      <w:pPr>
        <w:tabs>
          <w:tab w:val="num" w:pos="2880"/>
        </w:tabs>
        <w:ind w:left="2880" w:hanging="360"/>
      </w:pPr>
      <w:rPr>
        <w:rFonts w:ascii="Arial" w:hAnsi="Arial" w:hint="default"/>
      </w:rPr>
    </w:lvl>
    <w:lvl w:ilvl="4" w:tplc="3B1888E0" w:tentative="1">
      <w:start w:val="1"/>
      <w:numFmt w:val="bullet"/>
      <w:lvlText w:val="–"/>
      <w:lvlJc w:val="left"/>
      <w:pPr>
        <w:tabs>
          <w:tab w:val="num" w:pos="3600"/>
        </w:tabs>
        <w:ind w:left="3600" w:hanging="360"/>
      </w:pPr>
      <w:rPr>
        <w:rFonts w:ascii="Arial" w:hAnsi="Arial" w:hint="default"/>
      </w:rPr>
    </w:lvl>
    <w:lvl w:ilvl="5" w:tplc="839ECD94" w:tentative="1">
      <w:start w:val="1"/>
      <w:numFmt w:val="bullet"/>
      <w:lvlText w:val="–"/>
      <w:lvlJc w:val="left"/>
      <w:pPr>
        <w:tabs>
          <w:tab w:val="num" w:pos="4320"/>
        </w:tabs>
        <w:ind w:left="4320" w:hanging="360"/>
      </w:pPr>
      <w:rPr>
        <w:rFonts w:ascii="Arial" w:hAnsi="Arial" w:hint="default"/>
      </w:rPr>
    </w:lvl>
    <w:lvl w:ilvl="6" w:tplc="4838F930" w:tentative="1">
      <w:start w:val="1"/>
      <w:numFmt w:val="bullet"/>
      <w:lvlText w:val="–"/>
      <w:lvlJc w:val="left"/>
      <w:pPr>
        <w:tabs>
          <w:tab w:val="num" w:pos="5040"/>
        </w:tabs>
        <w:ind w:left="5040" w:hanging="360"/>
      </w:pPr>
      <w:rPr>
        <w:rFonts w:ascii="Arial" w:hAnsi="Arial" w:hint="default"/>
      </w:rPr>
    </w:lvl>
    <w:lvl w:ilvl="7" w:tplc="6AD27296" w:tentative="1">
      <w:start w:val="1"/>
      <w:numFmt w:val="bullet"/>
      <w:lvlText w:val="–"/>
      <w:lvlJc w:val="left"/>
      <w:pPr>
        <w:tabs>
          <w:tab w:val="num" w:pos="5760"/>
        </w:tabs>
        <w:ind w:left="5760" w:hanging="360"/>
      </w:pPr>
      <w:rPr>
        <w:rFonts w:ascii="Arial" w:hAnsi="Arial" w:hint="default"/>
      </w:rPr>
    </w:lvl>
    <w:lvl w:ilvl="8" w:tplc="87BA5E02" w:tentative="1">
      <w:start w:val="1"/>
      <w:numFmt w:val="bullet"/>
      <w:lvlText w:val="–"/>
      <w:lvlJc w:val="left"/>
      <w:pPr>
        <w:tabs>
          <w:tab w:val="num" w:pos="6480"/>
        </w:tabs>
        <w:ind w:left="6480" w:hanging="360"/>
      </w:pPr>
      <w:rPr>
        <w:rFonts w:ascii="Arial" w:hAnsi="Arial" w:hint="default"/>
      </w:rPr>
    </w:lvl>
  </w:abstractNum>
  <w:abstractNum w:abstractNumId="2">
    <w:nsid w:val="39BA4925"/>
    <w:multiLevelType w:val="hybridMultilevel"/>
    <w:tmpl w:val="B4F0D22E"/>
    <w:lvl w:ilvl="0" w:tplc="AE547CBE">
      <w:start w:val="1"/>
      <w:numFmt w:val="bullet"/>
      <w:lvlText w:val="–"/>
      <w:lvlJc w:val="left"/>
      <w:pPr>
        <w:tabs>
          <w:tab w:val="num" w:pos="720"/>
        </w:tabs>
        <w:ind w:left="720" w:hanging="360"/>
      </w:pPr>
      <w:rPr>
        <w:rFonts w:ascii="Arial" w:hAnsi="Arial" w:hint="default"/>
      </w:rPr>
    </w:lvl>
    <w:lvl w:ilvl="1" w:tplc="EB0A76A2">
      <w:start w:val="1"/>
      <w:numFmt w:val="bullet"/>
      <w:lvlText w:val="–"/>
      <w:lvlJc w:val="left"/>
      <w:pPr>
        <w:tabs>
          <w:tab w:val="num" w:pos="1440"/>
        </w:tabs>
        <w:ind w:left="1440" w:hanging="360"/>
      </w:pPr>
      <w:rPr>
        <w:rFonts w:ascii="Arial" w:hAnsi="Arial" w:hint="default"/>
      </w:rPr>
    </w:lvl>
    <w:lvl w:ilvl="2" w:tplc="A8262404" w:tentative="1">
      <w:start w:val="1"/>
      <w:numFmt w:val="bullet"/>
      <w:lvlText w:val="–"/>
      <w:lvlJc w:val="left"/>
      <w:pPr>
        <w:tabs>
          <w:tab w:val="num" w:pos="2160"/>
        </w:tabs>
        <w:ind w:left="2160" w:hanging="360"/>
      </w:pPr>
      <w:rPr>
        <w:rFonts w:ascii="Arial" w:hAnsi="Arial" w:hint="default"/>
      </w:rPr>
    </w:lvl>
    <w:lvl w:ilvl="3" w:tplc="13F4D4E2" w:tentative="1">
      <w:start w:val="1"/>
      <w:numFmt w:val="bullet"/>
      <w:lvlText w:val="–"/>
      <w:lvlJc w:val="left"/>
      <w:pPr>
        <w:tabs>
          <w:tab w:val="num" w:pos="2880"/>
        </w:tabs>
        <w:ind w:left="2880" w:hanging="360"/>
      </w:pPr>
      <w:rPr>
        <w:rFonts w:ascii="Arial" w:hAnsi="Arial" w:hint="default"/>
      </w:rPr>
    </w:lvl>
    <w:lvl w:ilvl="4" w:tplc="99F2886C" w:tentative="1">
      <w:start w:val="1"/>
      <w:numFmt w:val="bullet"/>
      <w:lvlText w:val="–"/>
      <w:lvlJc w:val="left"/>
      <w:pPr>
        <w:tabs>
          <w:tab w:val="num" w:pos="3600"/>
        </w:tabs>
        <w:ind w:left="3600" w:hanging="360"/>
      </w:pPr>
      <w:rPr>
        <w:rFonts w:ascii="Arial" w:hAnsi="Arial" w:hint="default"/>
      </w:rPr>
    </w:lvl>
    <w:lvl w:ilvl="5" w:tplc="42843BEA" w:tentative="1">
      <w:start w:val="1"/>
      <w:numFmt w:val="bullet"/>
      <w:lvlText w:val="–"/>
      <w:lvlJc w:val="left"/>
      <w:pPr>
        <w:tabs>
          <w:tab w:val="num" w:pos="4320"/>
        </w:tabs>
        <w:ind w:left="4320" w:hanging="360"/>
      </w:pPr>
      <w:rPr>
        <w:rFonts w:ascii="Arial" w:hAnsi="Arial" w:hint="default"/>
      </w:rPr>
    </w:lvl>
    <w:lvl w:ilvl="6" w:tplc="F9CE0DDC" w:tentative="1">
      <w:start w:val="1"/>
      <w:numFmt w:val="bullet"/>
      <w:lvlText w:val="–"/>
      <w:lvlJc w:val="left"/>
      <w:pPr>
        <w:tabs>
          <w:tab w:val="num" w:pos="5040"/>
        </w:tabs>
        <w:ind w:left="5040" w:hanging="360"/>
      </w:pPr>
      <w:rPr>
        <w:rFonts w:ascii="Arial" w:hAnsi="Arial" w:hint="default"/>
      </w:rPr>
    </w:lvl>
    <w:lvl w:ilvl="7" w:tplc="1890B960" w:tentative="1">
      <w:start w:val="1"/>
      <w:numFmt w:val="bullet"/>
      <w:lvlText w:val="–"/>
      <w:lvlJc w:val="left"/>
      <w:pPr>
        <w:tabs>
          <w:tab w:val="num" w:pos="5760"/>
        </w:tabs>
        <w:ind w:left="5760" w:hanging="360"/>
      </w:pPr>
      <w:rPr>
        <w:rFonts w:ascii="Arial" w:hAnsi="Arial" w:hint="default"/>
      </w:rPr>
    </w:lvl>
    <w:lvl w:ilvl="8" w:tplc="34C8632A" w:tentative="1">
      <w:start w:val="1"/>
      <w:numFmt w:val="bullet"/>
      <w:lvlText w:val="–"/>
      <w:lvlJc w:val="left"/>
      <w:pPr>
        <w:tabs>
          <w:tab w:val="num" w:pos="6480"/>
        </w:tabs>
        <w:ind w:left="6480" w:hanging="360"/>
      </w:pPr>
      <w:rPr>
        <w:rFonts w:ascii="Arial" w:hAnsi="Arial" w:hint="default"/>
      </w:rPr>
    </w:lvl>
  </w:abstractNum>
  <w:abstractNum w:abstractNumId="3">
    <w:nsid w:val="40AE2685"/>
    <w:multiLevelType w:val="hybridMultilevel"/>
    <w:tmpl w:val="0D1064BE"/>
    <w:lvl w:ilvl="0" w:tplc="39EC836A">
      <w:start w:val="1"/>
      <w:numFmt w:val="bullet"/>
      <w:lvlText w:val="–"/>
      <w:lvlJc w:val="left"/>
      <w:pPr>
        <w:tabs>
          <w:tab w:val="num" w:pos="720"/>
        </w:tabs>
        <w:ind w:left="720" w:hanging="360"/>
      </w:pPr>
      <w:rPr>
        <w:rFonts w:ascii="Arial" w:hAnsi="Arial" w:hint="default"/>
      </w:rPr>
    </w:lvl>
    <w:lvl w:ilvl="1" w:tplc="FF4EEDB6">
      <w:start w:val="1"/>
      <w:numFmt w:val="bullet"/>
      <w:lvlText w:val="–"/>
      <w:lvlJc w:val="left"/>
      <w:pPr>
        <w:tabs>
          <w:tab w:val="num" w:pos="1440"/>
        </w:tabs>
        <w:ind w:left="1440" w:hanging="360"/>
      </w:pPr>
      <w:rPr>
        <w:rFonts w:ascii="Arial" w:hAnsi="Arial" w:hint="default"/>
      </w:rPr>
    </w:lvl>
    <w:lvl w:ilvl="2" w:tplc="E9E6B704" w:tentative="1">
      <w:start w:val="1"/>
      <w:numFmt w:val="bullet"/>
      <w:lvlText w:val="–"/>
      <w:lvlJc w:val="left"/>
      <w:pPr>
        <w:tabs>
          <w:tab w:val="num" w:pos="2160"/>
        </w:tabs>
        <w:ind w:left="2160" w:hanging="360"/>
      </w:pPr>
      <w:rPr>
        <w:rFonts w:ascii="Arial" w:hAnsi="Arial" w:hint="default"/>
      </w:rPr>
    </w:lvl>
    <w:lvl w:ilvl="3" w:tplc="C0DC6628" w:tentative="1">
      <w:start w:val="1"/>
      <w:numFmt w:val="bullet"/>
      <w:lvlText w:val="–"/>
      <w:lvlJc w:val="left"/>
      <w:pPr>
        <w:tabs>
          <w:tab w:val="num" w:pos="2880"/>
        </w:tabs>
        <w:ind w:left="2880" w:hanging="360"/>
      </w:pPr>
      <w:rPr>
        <w:rFonts w:ascii="Arial" w:hAnsi="Arial" w:hint="default"/>
      </w:rPr>
    </w:lvl>
    <w:lvl w:ilvl="4" w:tplc="62560B28" w:tentative="1">
      <w:start w:val="1"/>
      <w:numFmt w:val="bullet"/>
      <w:lvlText w:val="–"/>
      <w:lvlJc w:val="left"/>
      <w:pPr>
        <w:tabs>
          <w:tab w:val="num" w:pos="3600"/>
        </w:tabs>
        <w:ind w:left="3600" w:hanging="360"/>
      </w:pPr>
      <w:rPr>
        <w:rFonts w:ascii="Arial" w:hAnsi="Arial" w:hint="default"/>
      </w:rPr>
    </w:lvl>
    <w:lvl w:ilvl="5" w:tplc="5DB44D30" w:tentative="1">
      <w:start w:val="1"/>
      <w:numFmt w:val="bullet"/>
      <w:lvlText w:val="–"/>
      <w:lvlJc w:val="left"/>
      <w:pPr>
        <w:tabs>
          <w:tab w:val="num" w:pos="4320"/>
        </w:tabs>
        <w:ind w:left="4320" w:hanging="360"/>
      </w:pPr>
      <w:rPr>
        <w:rFonts w:ascii="Arial" w:hAnsi="Arial" w:hint="default"/>
      </w:rPr>
    </w:lvl>
    <w:lvl w:ilvl="6" w:tplc="AB2ADD42" w:tentative="1">
      <w:start w:val="1"/>
      <w:numFmt w:val="bullet"/>
      <w:lvlText w:val="–"/>
      <w:lvlJc w:val="left"/>
      <w:pPr>
        <w:tabs>
          <w:tab w:val="num" w:pos="5040"/>
        </w:tabs>
        <w:ind w:left="5040" w:hanging="360"/>
      </w:pPr>
      <w:rPr>
        <w:rFonts w:ascii="Arial" w:hAnsi="Arial" w:hint="default"/>
      </w:rPr>
    </w:lvl>
    <w:lvl w:ilvl="7" w:tplc="B2863378" w:tentative="1">
      <w:start w:val="1"/>
      <w:numFmt w:val="bullet"/>
      <w:lvlText w:val="–"/>
      <w:lvlJc w:val="left"/>
      <w:pPr>
        <w:tabs>
          <w:tab w:val="num" w:pos="5760"/>
        </w:tabs>
        <w:ind w:left="5760" w:hanging="360"/>
      </w:pPr>
      <w:rPr>
        <w:rFonts w:ascii="Arial" w:hAnsi="Arial" w:hint="default"/>
      </w:rPr>
    </w:lvl>
    <w:lvl w:ilvl="8" w:tplc="F690A1FA" w:tentative="1">
      <w:start w:val="1"/>
      <w:numFmt w:val="bullet"/>
      <w:lvlText w:val="–"/>
      <w:lvlJc w:val="left"/>
      <w:pPr>
        <w:tabs>
          <w:tab w:val="num" w:pos="6480"/>
        </w:tabs>
        <w:ind w:left="6480" w:hanging="360"/>
      </w:pPr>
      <w:rPr>
        <w:rFonts w:ascii="Arial" w:hAnsi="Arial" w:hint="default"/>
      </w:rPr>
    </w:lvl>
  </w:abstractNum>
  <w:abstractNum w:abstractNumId="4">
    <w:nsid w:val="41FE71C2"/>
    <w:multiLevelType w:val="hybridMultilevel"/>
    <w:tmpl w:val="CB96EEDA"/>
    <w:lvl w:ilvl="0" w:tplc="C0DEC104">
      <w:start w:val="1"/>
      <w:numFmt w:val="bullet"/>
      <w:lvlText w:val="–"/>
      <w:lvlJc w:val="left"/>
      <w:pPr>
        <w:tabs>
          <w:tab w:val="num" w:pos="720"/>
        </w:tabs>
        <w:ind w:left="720" w:hanging="360"/>
      </w:pPr>
      <w:rPr>
        <w:rFonts w:ascii="Arial" w:hAnsi="Arial" w:hint="default"/>
      </w:rPr>
    </w:lvl>
    <w:lvl w:ilvl="1" w:tplc="406260E4">
      <w:start w:val="1"/>
      <w:numFmt w:val="bullet"/>
      <w:lvlText w:val="–"/>
      <w:lvlJc w:val="left"/>
      <w:pPr>
        <w:tabs>
          <w:tab w:val="num" w:pos="1440"/>
        </w:tabs>
        <w:ind w:left="1440" w:hanging="360"/>
      </w:pPr>
      <w:rPr>
        <w:rFonts w:ascii="Arial" w:hAnsi="Arial" w:hint="default"/>
      </w:rPr>
    </w:lvl>
    <w:lvl w:ilvl="2" w:tplc="8BD8897C" w:tentative="1">
      <w:start w:val="1"/>
      <w:numFmt w:val="bullet"/>
      <w:lvlText w:val="–"/>
      <w:lvlJc w:val="left"/>
      <w:pPr>
        <w:tabs>
          <w:tab w:val="num" w:pos="2160"/>
        </w:tabs>
        <w:ind w:left="2160" w:hanging="360"/>
      </w:pPr>
      <w:rPr>
        <w:rFonts w:ascii="Arial" w:hAnsi="Arial" w:hint="default"/>
      </w:rPr>
    </w:lvl>
    <w:lvl w:ilvl="3" w:tplc="CAEC5CE4" w:tentative="1">
      <w:start w:val="1"/>
      <w:numFmt w:val="bullet"/>
      <w:lvlText w:val="–"/>
      <w:lvlJc w:val="left"/>
      <w:pPr>
        <w:tabs>
          <w:tab w:val="num" w:pos="2880"/>
        </w:tabs>
        <w:ind w:left="2880" w:hanging="360"/>
      </w:pPr>
      <w:rPr>
        <w:rFonts w:ascii="Arial" w:hAnsi="Arial" w:hint="default"/>
      </w:rPr>
    </w:lvl>
    <w:lvl w:ilvl="4" w:tplc="06FC70BA" w:tentative="1">
      <w:start w:val="1"/>
      <w:numFmt w:val="bullet"/>
      <w:lvlText w:val="–"/>
      <w:lvlJc w:val="left"/>
      <w:pPr>
        <w:tabs>
          <w:tab w:val="num" w:pos="3600"/>
        </w:tabs>
        <w:ind w:left="3600" w:hanging="360"/>
      </w:pPr>
      <w:rPr>
        <w:rFonts w:ascii="Arial" w:hAnsi="Arial" w:hint="default"/>
      </w:rPr>
    </w:lvl>
    <w:lvl w:ilvl="5" w:tplc="104A67B6" w:tentative="1">
      <w:start w:val="1"/>
      <w:numFmt w:val="bullet"/>
      <w:lvlText w:val="–"/>
      <w:lvlJc w:val="left"/>
      <w:pPr>
        <w:tabs>
          <w:tab w:val="num" w:pos="4320"/>
        </w:tabs>
        <w:ind w:left="4320" w:hanging="360"/>
      </w:pPr>
      <w:rPr>
        <w:rFonts w:ascii="Arial" w:hAnsi="Arial" w:hint="default"/>
      </w:rPr>
    </w:lvl>
    <w:lvl w:ilvl="6" w:tplc="1360912E" w:tentative="1">
      <w:start w:val="1"/>
      <w:numFmt w:val="bullet"/>
      <w:lvlText w:val="–"/>
      <w:lvlJc w:val="left"/>
      <w:pPr>
        <w:tabs>
          <w:tab w:val="num" w:pos="5040"/>
        </w:tabs>
        <w:ind w:left="5040" w:hanging="360"/>
      </w:pPr>
      <w:rPr>
        <w:rFonts w:ascii="Arial" w:hAnsi="Arial" w:hint="default"/>
      </w:rPr>
    </w:lvl>
    <w:lvl w:ilvl="7" w:tplc="29A61024" w:tentative="1">
      <w:start w:val="1"/>
      <w:numFmt w:val="bullet"/>
      <w:lvlText w:val="–"/>
      <w:lvlJc w:val="left"/>
      <w:pPr>
        <w:tabs>
          <w:tab w:val="num" w:pos="5760"/>
        </w:tabs>
        <w:ind w:left="5760" w:hanging="360"/>
      </w:pPr>
      <w:rPr>
        <w:rFonts w:ascii="Arial" w:hAnsi="Arial" w:hint="default"/>
      </w:rPr>
    </w:lvl>
    <w:lvl w:ilvl="8" w:tplc="9BAA4A14" w:tentative="1">
      <w:start w:val="1"/>
      <w:numFmt w:val="bullet"/>
      <w:lvlText w:val="–"/>
      <w:lvlJc w:val="left"/>
      <w:pPr>
        <w:tabs>
          <w:tab w:val="num" w:pos="6480"/>
        </w:tabs>
        <w:ind w:left="6480" w:hanging="360"/>
      </w:pPr>
      <w:rPr>
        <w:rFonts w:ascii="Arial" w:hAnsi="Arial" w:hint="default"/>
      </w:rPr>
    </w:lvl>
  </w:abstractNum>
  <w:abstractNum w:abstractNumId="5">
    <w:nsid w:val="562B6675"/>
    <w:multiLevelType w:val="hybridMultilevel"/>
    <w:tmpl w:val="05806A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6E6"/>
    <w:rsid w:val="0001075A"/>
    <w:rsid w:val="00012555"/>
    <w:rsid w:val="00013063"/>
    <w:rsid w:val="00014151"/>
    <w:rsid w:val="000326F6"/>
    <w:rsid w:val="00071410"/>
    <w:rsid w:val="000761E6"/>
    <w:rsid w:val="00085AD2"/>
    <w:rsid w:val="000B5D3D"/>
    <w:rsid w:val="000C0C14"/>
    <w:rsid w:val="000E11C7"/>
    <w:rsid w:val="000E23EE"/>
    <w:rsid w:val="00105C01"/>
    <w:rsid w:val="001071C8"/>
    <w:rsid w:val="0010789F"/>
    <w:rsid w:val="00107CD9"/>
    <w:rsid w:val="00110596"/>
    <w:rsid w:val="0011282A"/>
    <w:rsid w:val="0012093A"/>
    <w:rsid w:val="001452CA"/>
    <w:rsid w:val="001560C3"/>
    <w:rsid w:val="001743BD"/>
    <w:rsid w:val="0019166B"/>
    <w:rsid w:val="00191D80"/>
    <w:rsid w:val="001D7791"/>
    <w:rsid w:val="001F57AA"/>
    <w:rsid w:val="00205481"/>
    <w:rsid w:val="00211337"/>
    <w:rsid w:val="00220DF1"/>
    <w:rsid w:val="00245970"/>
    <w:rsid w:val="00246CF9"/>
    <w:rsid w:val="003157BE"/>
    <w:rsid w:val="00326B07"/>
    <w:rsid w:val="00337D81"/>
    <w:rsid w:val="00350DC5"/>
    <w:rsid w:val="00397EE6"/>
    <w:rsid w:val="003A6D97"/>
    <w:rsid w:val="003D0D0B"/>
    <w:rsid w:val="003F3532"/>
    <w:rsid w:val="003F7E0C"/>
    <w:rsid w:val="00407ED0"/>
    <w:rsid w:val="00416515"/>
    <w:rsid w:val="00425388"/>
    <w:rsid w:val="00427DD1"/>
    <w:rsid w:val="004661FC"/>
    <w:rsid w:val="004755CA"/>
    <w:rsid w:val="00476B8A"/>
    <w:rsid w:val="004F5FF6"/>
    <w:rsid w:val="00516A9D"/>
    <w:rsid w:val="005439DA"/>
    <w:rsid w:val="00555859"/>
    <w:rsid w:val="00575DD6"/>
    <w:rsid w:val="005A42E9"/>
    <w:rsid w:val="00602D22"/>
    <w:rsid w:val="00607BEE"/>
    <w:rsid w:val="006139D5"/>
    <w:rsid w:val="00624A45"/>
    <w:rsid w:val="00625D28"/>
    <w:rsid w:val="00626ED0"/>
    <w:rsid w:val="0064033F"/>
    <w:rsid w:val="006447A8"/>
    <w:rsid w:val="00680FBF"/>
    <w:rsid w:val="006852D2"/>
    <w:rsid w:val="006A25DE"/>
    <w:rsid w:val="006B2457"/>
    <w:rsid w:val="006E028C"/>
    <w:rsid w:val="006E1A5F"/>
    <w:rsid w:val="006F17EE"/>
    <w:rsid w:val="006F4F6E"/>
    <w:rsid w:val="00716D6F"/>
    <w:rsid w:val="00731B68"/>
    <w:rsid w:val="00740E23"/>
    <w:rsid w:val="0074287A"/>
    <w:rsid w:val="00745796"/>
    <w:rsid w:val="00753332"/>
    <w:rsid w:val="00757C98"/>
    <w:rsid w:val="007A367D"/>
    <w:rsid w:val="007A623E"/>
    <w:rsid w:val="007B5EE6"/>
    <w:rsid w:val="007C3AA1"/>
    <w:rsid w:val="007D182E"/>
    <w:rsid w:val="007F2C1E"/>
    <w:rsid w:val="008035E6"/>
    <w:rsid w:val="00812BFC"/>
    <w:rsid w:val="00820589"/>
    <w:rsid w:val="008327AA"/>
    <w:rsid w:val="0088142C"/>
    <w:rsid w:val="00881A67"/>
    <w:rsid w:val="008A19B8"/>
    <w:rsid w:val="00902256"/>
    <w:rsid w:val="009276F5"/>
    <w:rsid w:val="009720A0"/>
    <w:rsid w:val="00994110"/>
    <w:rsid w:val="009A46E6"/>
    <w:rsid w:val="00A16BD1"/>
    <w:rsid w:val="00A272D6"/>
    <w:rsid w:val="00A34620"/>
    <w:rsid w:val="00A403C4"/>
    <w:rsid w:val="00A426C7"/>
    <w:rsid w:val="00A45753"/>
    <w:rsid w:val="00A62515"/>
    <w:rsid w:val="00A82E4F"/>
    <w:rsid w:val="00AF729D"/>
    <w:rsid w:val="00B00FA2"/>
    <w:rsid w:val="00B01731"/>
    <w:rsid w:val="00B57894"/>
    <w:rsid w:val="00B57F57"/>
    <w:rsid w:val="00B74942"/>
    <w:rsid w:val="00B864BD"/>
    <w:rsid w:val="00B96CF4"/>
    <w:rsid w:val="00BE2DB0"/>
    <w:rsid w:val="00BF0673"/>
    <w:rsid w:val="00BF56C6"/>
    <w:rsid w:val="00C03C25"/>
    <w:rsid w:val="00C1730B"/>
    <w:rsid w:val="00C255B2"/>
    <w:rsid w:val="00C53EEB"/>
    <w:rsid w:val="00C8118D"/>
    <w:rsid w:val="00C84EB6"/>
    <w:rsid w:val="00C91E1A"/>
    <w:rsid w:val="00C94104"/>
    <w:rsid w:val="00C960E1"/>
    <w:rsid w:val="00CA4835"/>
    <w:rsid w:val="00CC5E54"/>
    <w:rsid w:val="00CD6045"/>
    <w:rsid w:val="00CF494E"/>
    <w:rsid w:val="00D06CB3"/>
    <w:rsid w:val="00D45ACD"/>
    <w:rsid w:val="00DA02F7"/>
    <w:rsid w:val="00DA20B2"/>
    <w:rsid w:val="00DA52CC"/>
    <w:rsid w:val="00DD65B4"/>
    <w:rsid w:val="00DE436E"/>
    <w:rsid w:val="00E00577"/>
    <w:rsid w:val="00E058ED"/>
    <w:rsid w:val="00E06B44"/>
    <w:rsid w:val="00E3185D"/>
    <w:rsid w:val="00E917A5"/>
    <w:rsid w:val="00E95844"/>
    <w:rsid w:val="00EB013D"/>
    <w:rsid w:val="00ED1C31"/>
    <w:rsid w:val="00ED4A06"/>
    <w:rsid w:val="00ED50EF"/>
    <w:rsid w:val="00EE23D1"/>
    <w:rsid w:val="00F17174"/>
    <w:rsid w:val="00F30C3F"/>
    <w:rsid w:val="00F5110E"/>
    <w:rsid w:val="00F70DA5"/>
    <w:rsid w:val="00F9347B"/>
    <w:rsid w:val="00FA2BFA"/>
    <w:rsid w:val="00FB53DC"/>
    <w:rsid w:val="00FC2B12"/>
    <w:rsid w:val="00FD01CA"/>
    <w:rsid w:val="00FD4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327AA"/>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173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327AA"/>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locked/>
    <w:rsid w:val="00C1730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A46E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A46E6"/>
    <w:rPr>
      <w:rFonts w:cs="Times New Roman"/>
    </w:rPr>
  </w:style>
  <w:style w:type="paragraph" w:styleId="FootnoteText">
    <w:name w:val="footnote text"/>
    <w:basedOn w:val="Normal"/>
    <w:link w:val="FootnoteTextChar"/>
    <w:uiPriority w:val="99"/>
    <w:unhideWhenUsed/>
    <w:rsid w:val="009A46E6"/>
    <w:pPr>
      <w:spacing w:after="0" w:line="240" w:lineRule="auto"/>
    </w:pPr>
    <w:rPr>
      <w:sz w:val="20"/>
      <w:szCs w:val="20"/>
    </w:rPr>
  </w:style>
  <w:style w:type="character" w:customStyle="1" w:styleId="FootnoteTextChar">
    <w:name w:val="Footnote Text Char"/>
    <w:basedOn w:val="DefaultParagraphFont"/>
    <w:link w:val="FootnoteText"/>
    <w:uiPriority w:val="99"/>
    <w:locked/>
    <w:rsid w:val="009A46E6"/>
    <w:rPr>
      <w:rFonts w:cs="Times New Roman"/>
      <w:sz w:val="20"/>
      <w:szCs w:val="20"/>
    </w:rPr>
  </w:style>
  <w:style w:type="character" w:styleId="FootnoteReference">
    <w:name w:val="footnote reference"/>
    <w:basedOn w:val="DefaultParagraphFont"/>
    <w:uiPriority w:val="99"/>
    <w:semiHidden/>
    <w:unhideWhenUsed/>
    <w:rsid w:val="009A46E6"/>
    <w:rPr>
      <w:rFonts w:cs="Times New Roman"/>
      <w:vertAlign w:val="superscript"/>
    </w:rPr>
  </w:style>
  <w:style w:type="character" w:customStyle="1" w:styleId="apple-style-span">
    <w:name w:val="apple-style-span"/>
    <w:basedOn w:val="DefaultParagraphFont"/>
    <w:rsid w:val="009A46E6"/>
    <w:rPr>
      <w:rFonts w:cs="Times New Roman"/>
    </w:rPr>
  </w:style>
  <w:style w:type="character" w:customStyle="1" w:styleId="apple-converted-space">
    <w:name w:val="apple-converted-space"/>
    <w:basedOn w:val="DefaultParagraphFont"/>
    <w:rsid w:val="009A46E6"/>
    <w:rPr>
      <w:rFonts w:cs="Times New Roman"/>
    </w:rPr>
  </w:style>
  <w:style w:type="paragraph" w:customStyle="1" w:styleId="revtext">
    <w:name w:val="revtext"/>
    <w:basedOn w:val="Normal"/>
    <w:rsid w:val="009A46E6"/>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9A46E6"/>
    <w:rPr>
      <w:rFonts w:cs="Times New Roman"/>
      <w:i/>
      <w:iCs/>
    </w:rPr>
  </w:style>
  <w:style w:type="paragraph" w:styleId="Footer">
    <w:name w:val="footer"/>
    <w:basedOn w:val="Normal"/>
    <w:link w:val="FooterChar"/>
    <w:uiPriority w:val="99"/>
    <w:unhideWhenUsed/>
    <w:rsid w:val="006447A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447A8"/>
    <w:rPr>
      <w:rFonts w:cs="Times New Roman"/>
    </w:rPr>
  </w:style>
  <w:style w:type="character" w:styleId="Hyperlink">
    <w:name w:val="Hyperlink"/>
    <w:basedOn w:val="DefaultParagraphFont"/>
    <w:uiPriority w:val="99"/>
    <w:unhideWhenUsed/>
    <w:rsid w:val="00D06CB3"/>
    <w:rPr>
      <w:rFonts w:cs="Times New Roman"/>
      <w:color w:val="0000FF"/>
      <w:u w:val="single"/>
    </w:rPr>
  </w:style>
  <w:style w:type="paragraph" w:styleId="BalloonText">
    <w:name w:val="Balloon Text"/>
    <w:basedOn w:val="Normal"/>
    <w:link w:val="BalloonTextChar"/>
    <w:uiPriority w:val="99"/>
    <w:semiHidden/>
    <w:unhideWhenUsed/>
    <w:rsid w:val="00D06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6CB3"/>
    <w:rPr>
      <w:rFonts w:ascii="Tahoma" w:hAnsi="Tahoma" w:cs="Tahoma"/>
      <w:sz w:val="16"/>
      <w:szCs w:val="16"/>
    </w:rPr>
  </w:style>
  <w:style w:type="character" w:customStyle="1" w:styleId="maintext">
    <w:name w:val="maintext"/>
    <w:basedOn w:val="DefaultParagraphFont"/>
    <w:rsid w:val="00D06CB3"/>
    <w:rPr>
      <w:rFonts w:cs="Times New Roman"/>
    </w:rPr>
  </w:style>
  <w:style w:type="paragraph" w:styleId="ListParagraph">
    <w:name w:val="List Paragraph"/>
    <w:basedOn w:val="Normal"/>
    <w:uiPriority w:val="34"/>
    <w:qFormat/>
    <w:rsid w:val="00E00577"/>
    <w:pPr>
      <w:spacing w:after="0" w:line="240" w:lineRule="auto"/>
      <w:ind w:left="720"/>
      <w:contextualSpacing/>
    </w:pPr>
    <w:rPr>
      <w:rFonts w:ascii="Times New Roman" w:hAnsi="Times New Roman" w:cs="Times New Roman"/>
      <w:sz w:val="24"/>
      <w:szCs w:val="24"/>
    </w:rPr>
  </w:style>
  <w:style w:type="character" w:styleId="Strong">
    <w:name w:val="Strong"/>
    <w:basedOn w:val="DefaultParagraphFont"/>
    <w:uiPriority w:val="22"/>
    <w:qFormat/>
    <w:rsid w:val="007C3AA1"/>
    <w:rPr>
      <w:rFonts w:cs="Times New Roman"/>
      <w:b/>
      <w:bCs/>
    </w:rPr>
  </w:style>
  <w:style w:type="character" w:styleId="HTMLCite">
    <w:name w:val="HTML Cite"/>
    <w:basedOn w:val="DefaultParagraphFont"/>
    <w:uiPriority w:val="99"/>
    <w:semiHidden/>
    <w:unhideWhenUsed/>
    <w:rsid w:val="00F17174"/>
    <w:rPr>
      <w:rFonts w:cs="Times New Roman"/>
      <w:i/>
      <w:iCs/>
    </w:rPr>
  </w:style>
  <w:style w:type="paragraph" w:styleId="HTMLPreformatted">
    <w:name w:val="HTML Preformatted"/>
    <w:basedOn w:val="Normal"/>
    <w:link w:val="HTMLPreformattedChar"/>
    <w:uiPriority w:val="99"/>
    <w:unhideWhenUsed/>
    <w:rsid w:val="00516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516A9D"/>
    <w:rPr>
      <w:rFonts w:ascii="Courier New"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327AA"/>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1730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327AA"/>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locked/>
    <w:rsid w:val="00C1730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A46E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9A46E6"/>
    <w:rPr>
      <w:rFonts w:cs="Times New Roman"/>
    </w:rPr>
  </w:style>
  <w:style w:type="paragraph" w:styleId="FootnoteText">
    <w:name w:val="footnote text"/>
    <w:basedOn w:val="Normal"/>
    <w:link w:val="FootnoteTextChar"/>
    <w:uiPriority w:val="99"/>
    <w:unhideWhenUsed/>
    <w:rsid w:val="009A46E6"/>
    <w:pPr>
      <w:spacing w:after="0" w:line="240" w:lineRule="auto"/>
    </w:pPr>
    <w:rPr>
      <w:sz w:val="20"/>
      <w:szCs w:val="20"/>
    </w:rPr>
  </w:style>
  <w:style w:type="character" w:customStyle="1" w:styleId="FootnoteTextChar">
    <w:name w:val="Footnote Text Char"/>
    <w:basedOn w:val="DefaultParagraphFont"/>
    <w:link w:val="FootnoteText"/>
    <w:uiPriority w:val="99"/>
    <w:locked/>
    <w:rsid w:val="009A46E6"/>
    <w:rPr>
      <w:rFonts w:cs="Times New Roman"/>
      <w:sz w:val="20"/>
      <w:szCs w:val="20"/>
    </w:rPr>
  </w:style>
  <w:style w:type="character" w:styleId="FootnoteReference">
    <w:name w:val="footnote reference"/>
    <w:basedOn w:val="DefaultParagraphFont"/>
    <w:uiPriority w:val="99"/>
    <w:semiHidden/>
    <w:unhideWhenUsed/>
    <w:rsid w:val="009A46E6"/>
    <w:rPr>
      <w:rFonts w:cs="Times New Roman"/>
      <w:vertAlign w:val="superscript"/>
    </w:rPr>
  </w:style>
  <w:style w:type="character" w:customStyle="1" w:styleId="apple-style-span">
    <w:name w:val="apple-style-span"/>
    <w:basedOn w:val="DefaultParagraphFont"/>
    <w:rsid w:val="009A46E6"/>
    <w:rPr>
      <w:rFonts w:cs="Times New Roman"/>
    </w:rPr>
  </w:style>
  <w:style w:type="character" w:customStyle="1" w:styleId="apple-converted-space">
    <w:name w:val="apple-converted-space"/>
    <w:basedOn w:val="DefaultParagraphFont"/>
    <w:rsid w:val="009A46E6"/>
    <w:rPr>
      <w:rFonts w:cs="Times New Roman"/>
    </w:rPr>
  </w:style>
  <w:style w:type="paragraph" w:customStyle="1" w:styleId="revtext">
    <w:name w:val="revtext"/>
    <w:basedOn w:val="Normal"/>
    <w:rsid w:val="009A46E6"/>
    <w:pPr>
      <w:spacing w:before="100" w:beforeAutospacing="1" w:after="100" w:afterAutospacing="1" w:line="240" w:lineRule="auto"/>
    </w:pPr>
    <w:rPr>
      <w:rFonts w:ascii="Times New Roman" w:hAnsi="Times New Roman" w:cs="Times New Roman"/>
      <w:sz w:val="24"/>
      <w:szCs w:val="24"/>
    </w:rPr>
  </w:style>
  <w:style w:type="character" w:styleId="Emphasis">
    <w:name w:val="Emphasis"/>
    <w:basedOn w:val="DefaultParagraphFont"/>
    <w:uiPriority w:val="20"/>
    <w:qFormat/>
    <w:rsid w:val="009A46E6"/>
    <w:rPr>
      <w:rFonts w:cs="Times New Roman"/>
      <w:i/>
      <w:iCs/>
    </w:rPr>
  </w:style>
  <w:style w:type="paragraph" w:styleId="Footer">
    <w:name w:val="footer"/>
    <w:basedOn w:val="Normal"/>
    <w:link w:val="FooterChar"/>
    <w:uiPriority w:val="99"/>
    <w:unhideWhenUsed/>
    <w:rsid w:val="006447A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447A8"/>
    <w:rPr>
      <w:rFonts w:cs="Times New Roman"/>
    </w:rPr>
  </w:style>
  <w:style w:type="character" w:styleId="Hyperlink">
    <w:name w:val="Hyperlink"/>
    <w:basedOn w:val="DefaultParagraphFont"/>
    <w:uiPriority w:val="99"/>
    <w:unhideWhenUsed/>
    <w:rsid w:val="00D06CB3"/>
    <w:rPr>
      <w:rFonts w:cs="Times New Roman"/>
      <w:color w:val="0000FF"/>
      <w:u w:val="single"/>
    </w:rPr>
  </w:style>
  <w:style w:type="paragraph" w:styleId="BalloonText">
    <w:name w:val="Balloon Text"/>
    <w:basedOn w:val="Normal"/>
    <w:link w:val="BalloonTextChar"/>
    <w:uiPriority w:val="99"/>
    <w:semiHidden/>
    <w:unhideWhenUsed/>
    <w:rsid w:val="00D06C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6CB3"/>
    <w:rPr>
      <w:rFonts w:ascii="Tahoma" w:hAnsi="Tahoma" w:cs="Tahoma"/>
      <w:sz w:val="16"/>
      <w:szCs w:val="16"/>
    </w:rPr>
  </w:style>
  <w:style w:type="character" w:customStyle="1" w:styleId="maintext">
    <w:name w:val="maintext"/>
    <w:basedOn w:val="DefaultParagraphFont"/>
    <w:rsid w:val="00D06CB3"/>
    <w:rPr>
      <w:rFonts w:cs="Times New Roman"/>
    </w:rPr>
  </w:style>
  <w:style w:type="paragraph" w:styleId="ListParagraph">
    <w:name w:val="List Paragraph"/>
    <w:basedOn w:val="Normal"/>
    <w:uiPriority w:val="34"/>
    <w:qFormat/>
    <w:rsid w:val="00E00577"/>
    <w:pPr>
      <w:spacing w:after="0" w:line="240" w:lineRule="auto"/>
      <w:ind w:left="720"/>
      <w:contextualSpacing/>
    </w:pPr>
    <w:rPr>
      <w:rFonts w:ascii="Times New Roman" w:hAnsi="Times New Roman" w:cs="Times New Roman"/>
      <w:sz w:val="24"/>
      <w:szCs w:val="24"/>
    </w:rPr>
  </w:style>
  <w:style w:type="character" w:styleId="Strong">
    <w:name w:val="Strong"/>
    <w:basedOn w:val="DefaultParagraphFont"/>
    <w:uiPriority w:val="22"/>
    <w:qFormat/>
    <w:rsid w:val="007C3AA1"/>
    <w:rPr>
      <w:rFonts w:cs="Times New Roman"/>
      <w:b/>
      <w:bCs/>
    </w:rPr>
  </w:style>
  <w:style w:type="character" w:styleId="HTMLCite">
    <w:name w:val="HTML Cite"/>
    <w:basedOn w:val="DefaultParagraphFont"/>
    <w:uiPriority w:val="99"/>
    <w:semiHidden/>
    <w:unhideWhenUsed/>
    <w:rsid w:val="00F17174"/>
    <w:rPr>
      <w:rFonts w:cs="Times New Roman"/>
      <w:i/>
      <w:iCs/>
    </w:rPr>
  </w:style>
  <w:style w:type="paragraph" w:styleId="HTMLPreformatted">
    <w:name w:val="HTML Preformatted"/>
    <w:basedOn w:val="Normal"/>
    <w:link w:val="HTMLPreformattedChar"/>
    <w:uiPriority w:val="99"/>
    <w:unhideWhenUsed/>
    <w:rsid w:val="00516A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516A9D"/>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94637">
      <w:bodyDiv w:val="1"/>
      <w:marLeft w:val="0"/>
      <w:marRight w:val="0"/>
      <w:marTop w:val="0"/>
      <w:marBottom w:val="0"/>
      <w:divBdr>
        <w:top w:val="none" w:sz="0" w:space="0" w:color="auto"/>
        <w:left w:val="none" w:sz="0" w:space="0" w:color="auto"/>
        <w:bottom w:val="none" w:sz="0" w:space="0" w:color="auto"/>
        <w:right w:val="none" w:sz="0" w:space="0" w:color="auto"/>
      </w:divBdr>
      <w:divsChild>
        <w:div w:id="913123080">
          <w:marLeft w:val="0"/>
          <w:marRight w:val="0"/>
          <w:marTop w:val="0"/>
          <w:marBottom w:val="0"/>
          <w:divBdr>
            <w:top w:val="none" w:sz="0" w:space="0" w:color="auto"/>
            <w:left w:val="none" w:sz="0" w:space="0" w:color="auto"/>
            <w:bottom w:val="none" w:sz="0" w:space="0" w:color="auto"/>
            <w:right w:val="none" w:sz="0" w:space="0" w:color="auto"/>
          </w:divBdr>
        </w:div>
        <w:div w:id="1623263189">
          <w:marLeft w:val="0"/>
          <w:marRight w:val="0"/>
          <w:marTop w:val="0"/>
          <w:marBottom w:val="0"/>
          <w:divBdr>
            <w:top w:val="none" w:sz="0" w:space="0" w:color="auto"/>
            <w:left w:val="none" w:sz="0" w:space="0" w:color="auto"/>
            <w:bottom w:val="none" w:sz="0" w:space="0" w:color="auto"/>
            <w:right w:val="none" w:sz="0" w:space="0" w:color="auto"/>
          </w:divBdr>
        </w:div>
      </w:divsChild>
    </w:div>
    <w:div w:id="497499960">
      <w:bodyDiv w:val="1"/>
      <w:marLeft w:val="0"/>
      <w:marRight w:val="0"/>
      <w:marTop w:val="0"/>
      <w:marBottom w:val="0"/>
      <w:divBdr>
        <w:top w:val="none" w:sz="0" w:space="0" w:color="auto"/>
        <w:left w:val="none" w:sz="0" w:space="0" w:color="auto"/>
        <w:bottom w:val="none" w:sz="0" w:space="0" w:color="auto"/>
        <w:right w:val="none" w:sz="0" w:space="0" w:color="auto"/>
      </w:divBdr>
      <w:divsChild>
        <w:div w:id="1548176035">
          <w:marLeft w:val="0"/>
          <w:marRight w:val="0"/>
          <w:marTop w:val="0"/>
          <w:marBottom w:val="0"/>
          <w:divBdr>
            <w:top w:val="none" w:sz="0" w:space="0" w:color="auto"/>
            <w:left w:val="none" w:sz="0" w:space="0" w:color="auto"/>
            <w:bottom w:val="none" w:sz="0" w:space="0" w:color="auto"/>
            <w:right w:val="none" w:sz="0" w:space="0" w:color="auto"/>
          </w:divBdr>
        </w:div>
        <w:div w:id="1729692579">
          <w:marLeft w:val="0"/>
          <w:marRight w:val="0"/>
          <w:marTop w:val="0"/>
          <w:marBottom w:val="0"/>
          <w:divBdr>
            <w:top w:val="none" w:sz="0" w:space="0" w:color="auto"/>
            <w:left w:val="none" w:sz="0" w:space="0" w:color="auto"/>
            <w:bottom w:val="none" w:sz="0" w:space="0" w:color="auto"/>
            <w:right w:val="none" w:sz="0" w:space="0" w:color="auto"/>
          </w:divBdr>
        </w:div>
      </w:divsChild>
    </w:div>
    <w:div w:id="824858032">
      <w:marLeft w:val="0"/>
      <w:marRight w:val="0"/>
      <w:marTop w:val="0"/>
      <w:marBottom w:val="0"/>
      <w:divBdr>
        <w:top w:val="none" w:sz="0" w:space="0" w:color="auto"/>
        <w:left w:val="none" w:sz="0" w:space="0" w:color="auto"/>
        <w:bottom w:val="none" w:sz="0" w:space="0" w:color="auto"/>
        <w:right w:val="none" w:sz="0" w:space="0" w:color="auto"/>
      </w:divBdr>
    </w:div>
    <w:div w:id="824858033">
      <w:marLeft w:val="0"/>
      <w:marRight w:val="0"/>
      <w:marTop w:val="0"/>
      <w:marBottom w:val="0"/>
      <w:divBdr>
        <w:top w:val="none" w:sz="0" w:space="0" w:color="auto"/>
        <w:left w:val="none" w:sz="0" w:space="0" w:color="auto"/>
        <w:bottom w:val="none" w:sz="0" w:space="0" w:color="auto"/>
        <w:right w:val="none" w:sz="0" w:space="0" w:color="auto"/>
      </w:divBdr>
      <w:divsChild>
        <w:div w:id="824858043">
          <w:marLeft w:val="1166"/>
          <w:marRight w:val="0"/>
          <w:marTop w:val="115"/>
          <w:marBottom w:val="0"/>
          <w:divBdr>
            <w:top w:val="none" w:sz="0" w:space="0" w:color="auto"/>
            <w:left w:val="none" w:sz="0" w:space="0" w:color="auto"/>
            <w:bottom w:val="none" w:sz="0" w:space="0" w:color="auto"/>
            <w:right w:val="none" w:sz="0" w:space="0" w:color="auto"/>
          </w:divBdr>
        </w:div>
      </w:divsChild>
    </w:div>
    <w:div w:id="824858034">
      <w:marLeft w:val="0"/>
      <w:marRight w:val="0"/>
      <w:marTop w:val="0"/>
      <w:marBottom w:val="0"/>
      <w:divBdr>
        <w:top w:val="none" w:sz="0" w:space="0" w:color="auto"/>
        <w:left w:val="none" w:sz="0" w:space="0" w:color="auto"/>
        <w:bottom w:val="none" w:sz="0" w:space="0" w:color="auto"/>
        <w:right w:val="none" w:sz="0" w:space="0" w:color="auto"/>
      </w:divBdr>
    </w:div>
    <w:div w:id="824858035">
      <w:marLeft w:val="0"/>
      <w:marRight w:val="0"/>
      <w:marTop w:val="0"/>
      <w:marBottom w:val="0"/>
      <w:divBdr>
        <w:top w:val="none" w:sz="0" w:space="0" w:color="auto"/>
        <w:left w:val="none" w:sz="0" w:space="0" w:color="auto"/>
        <w:bottom w:val="none" w:sz="0" w:space="0" w:color="auto"/>
        <w:right w:val="none" w:sz="0" w:space="0" w:color="auto"/>
      </w:divBdr>
    </w:div>
    <w:div w:id="824858037">
      <w:marLeft w:val="0"/>
      <w:marRight w:val="0"/>
      <w:marTop w:val="0"/>
      <w:marBottom w:val="0"/>
      <w:divBdr>
        <w:top w:val="none" w:sz="0" w:space="0" w:color="auto"/>
        <w:left w:val="none" w:sz="0" w:space="0" w:color="auto"/>
        <w:bottom w:val="none" w:sz="0" w:space="0" w:color="auto"/>
        <w:right w:val="none" w:sz="0" w:space="0" w:color="auto"/>
      </w:divBdr>
      <w:divsChild>
        <w:div w:id="824858046">
          <w:marLeft w:val="1166"/>
          <w:marRight w:val="0"/>
          <w:marTop w:val="96"/>
          <w:marBottom w:val="0"/>
          <w:divBdr>
            <w:top w:val="none" w:sz="0" w:space="0" w:color="auto"/>
            <w:left w:val="none" w:sz="0" w:space="0" w:color="auto"/>
            <w:bottom w:val="none" w:sz="0" w:space="0" w:color="auto"/>
            <w:right w:val="none" w:sz="0" w:space="0" w:color="auto"/>
          </w:divBdr>
        </w:div>
      </w:divsChild>
    </w:div>
    <w:div w:id="824858040">
      <w:marLeft w:val="0"/>
      <w:marRight w:val="0"/>
      <w:marTop w:val="0"/>
      <w:marBottom w:val="0"/>
      <w:divBdr>
        <w:top w:val="none" w:sz="0" w:space="0" w:color="auto"/>
        <w:left w:val="none" w:sz="0" w:space="0" w:color="auto"/>
        <w:bottom w:val="none" w:sz="0" w:space="0" w:color="auto"/>
        <w:right w:val="none" w:sz="0" w:space="0" w:color="auto"/>
      </w:divBdr>
    </w:div>
    <w:div w:id="824858041">
      <w:marLeft w:val="0"/>
      <w:marRight w:val="0"/>
      <w:marTop w:val="0"/>
      <w:marBottom w:val="0"/>
      <w:divBdr>
        <w:top w:val="none" w:sz="0" w:space="0" w:color="auto"/>
        <w:left w:val="none" w:sz="0" w:space="0" w:color="auto"/>
        <w:bottom w:val="none" w:sz="0" w:space="0" w:color="auto"/>
        <w:right w:val="none" w:sz="0" w:space="0" w:color="auto"/>
      </w:divBdr>
    </w:div>
    <w:div w:id="824858042">
      <w:marLeft w:val="0"/>
      <w:marRight w:val="0"/>
      <w:marTop w:val="0"/>
      <w:marBottom w:val="0"/>
      <w:divBdr>
        <w:top w:val="none" w:sz="0" w:space="0" w:color="auto"/>
        <w:left w:val="none" w:sz="0" w:space="0" w:color="auto"/>
        <w:bottom w:val="none" w:sz="0" w:space="0" w:color="auto"/>
        <w:right w:val="none" w:sz="0" w:space="0" w:color="auto"/>
      </w:divBdr>
      <w:divsChild>
        <w:div w:id="824858039">
          <w:marLeft w:val="0"/>
          <w:marRight w:val="0"/>
          <w:marTop w:val="0"/>
          <w:marBottom w:val="0"/>
          <w:divBdr>
            <w:top w:val="none" w:sz="0" w:space="0" w:color="auto"/>
            <w:left w:val="none" w:sz="0" w:space="0" w:color="auto"/>
            <w:bottom w:val="none" w:sz="0" w:space="0" w:color="auto"/>
            <w:right w:val="none" w:sz="0" w:space="0" w:color="auto"/>
          </w:divBdr>
        </w:div>
      </w:divsChild>
    </w:div>
    <w:div w:id="824858044">
      <w:marLeft w:val="0"/>
      <w:marRight w:val="0"/>
      <w:marTop w:val="0"/>
      <w:marBottom w:val="0"/>
      <w:divBdr>
        <w:top w:val="none" w:sz="0" w:space="0" w:color="auto"/>
        <w:left w:val="none" w:sz="0" w:space="0" w:color="auto"/>
        <w:bottom w:val="none" w:sz="0" w:space="0" w:color="auto"/>
        <w:right w:val="none" w:sz="0" w:space="0" w:color="auto"/>
      </w:divBdr>
      <w:divsChild>
        <w:div w:id="824858036">
          <w:marLeft w:val="1166"/>
          <w:marRight w:val="0"/>
          <w:marTop w:val="96"/>
          <w:marBottom w:val="0"/>
          <w:divBdr>
            <w:top w:val="none" w:sz="0" w:space="0" w:color="auto"/>
            <w:left w:val="none" w:sz="0" w:space="0" w:color="auto"/>
            <w:bottom w:val="none" w:sz="0" w:space="0" w:color="auto"/>
            <w:right w:val="none" w:sz="0" w:space="0" w:color="auto"/>
          </w:divBdr>
        </w:div>
      </w:divsChild>
    </w:div>
    <w:div w:id="824858045">
      <w:marLeft w:val="0"/>
      <w:marRight w:val="0"/>
      <w:marTop w:val="0"/>
      <w:marBottom w:val="0"/>
      <w:divBdr>
        <w:top w:val="none" w:sz="0" w:space="0" w:color="auto"/>
        <w:left w:val="none" w:sz="0" w:space="0" w:color="auto"/>
        <w:bottom w:val="none" w:sz="0" w:space="0" w:color="auto"/>
        <w:right w:val="none" w:sz="0" w:space="0" w:color="auto"/>
      </w:divBdr>
      <w:divsChild>
        <w:div w:id="824858038">
          <w:marLeft w:val="1166"/>
          <w:marRight w:val="0"/>
          <w:marTop w:val="96"/>
          <w:marBottom w:val="0"/>
          <w:divBdr>
            <w:top w:val="none" w:sz="0" w:space="0" w:color="auto"/>
            <w:left w:val="none" w:sz="0" w:space="0" w:color="auto"/>
            <w:bottom w:val="none" w:sz="0" w:space="0" w:color="auto"/>
            <w:right w:val="none" w:sz="0" w:space="0" w:color="auto"/>
          </w:divBdr>
        </w:div>
      </w:divsChild>
    </w:div>
    <w:div w:id="824858047">
      <w:marLeft w:val="0"/>
      <w:marRight w:val="0"/>
      <w:marTop w:val="0"/>
      <w:marBottom w:val="0"/>
      <w:divBdr>
        <w:top w:val="none" w:sz="0" w:space="0" w:color="auto"/>
        <w:left w:val="none" w:sz="0" w:space="0" w:color="auto"/>
        <w:bottom w:val="none" w:sz="0" w:space="0" w:color="auto"/>
        <w:right w:val="none" w:sz="0" w:space="0" w:color="auto"/>
      </w:divBdr>
    </w:div>
    <w:div w:id="824858048">
      <w:marLeft w:val="0"/>
      <w:marRight w:val="0"/>
      <w:marTop w:val="0"/>
      <w:marBottom w:val="0"/>
      <w:divBdr>
        <w:top w:val="none" w:sz="0" w:space="0" w:color="auto"/>
        <w:left w:val="none" w:sz="0" w:space="0" w:color="auto"/>
        <w:bottom w:val="none" w:sz="0" w:space="0" w:color="auto"/>
        <w:right w:val="none" w:sz="0" w:space="0" w:color="auto"/>
      </w:divBdr>
    </w:div>
    <w:div w:id="942685080">
      <w:bodyDiv w:val="1"/>
      <w:marLeft w:val="0"/>
      <w:marRight w:val="0"/>
      <w:marTop w:val="0"/>
      <w:marBottom w:val="0"/>
      <w:divBdr>
        <w:top w:val="none" w:sz="0" w:space="0" w:color="auto"/>
        <w:left w:val="none" w:sz="0" w:space="0" w:color="auto"/>
        <w:bottom w:val="none" w:sz="0" w:space="0" w:color="auto"/>
        <w:right w:val="none" w:sz="0" w:space="0" w:color="auto"/>
      </w:divBdr>
      <w:divsChild>
        <w:div w:id="1506552211">
          <w:marLeft w:val="0"/>
          <w:marRight w:val="0"/>
          <w:marTop w:val="0"/>
          <w:marBottom w:val="0"/>
          <w:divBdr>
            <w:top w:val="none" w:sz="0" w:space="0" w:color="auto"/>
            <w:left w:val="none" w:sz="0" w:space="0" w:color="auto"/>
            <w:bottom w:val="none" w:sz="0" w:space="0" w:color="auto"/>
            <w:right w:val="none" w:sz="0" w:space="0" w:color="auto"/>
          </w:divBdr>
        </w:div>
        <w:div w:id="1984844610">
          <w:marLeft w:val="0"/>
          <w:marRight w:val="0"/>
          <w:marTop w:val="0"/>
          <w:marBottom w:val="0"/>
          <w:divBdr>
            <w:top w:val="none" w:sz="0" w:space="0" w:color="auto"/>
            <w:left w:val="none" w:sz="0" w:space="0" w:color="auto"/>
            <w:bottom w:val="none" w:sz="0" w:space="0" w:color="auto"/>
            <w:right w:val="none" w:sz="0" w:space="0" w:color="auto"/>
          </w:divBdr>
        </w:div>
      </w:divsChild>
    </w:div>
    <w:div w:id="1119253470">
      <w:bodyDiv w:val="1"/>
      <w:marLeft w:val="0"/>
      <w:marRight w:val="0"/>
      <w:marTop w:val="0"/>
      <w:marBottom w:val="0"/>
      <w:divBdr>
        <w:top w:val="none" w:sz="0" w:space="0" w:color="auto"/>
        <w:left w:val="none" w:sz="0" w:space="0" w:color="auto"/>
        <w:bottom w:val="none" w:sz="0" w:space="0" w:color="auto"/>
        <w:right w:val="none" w:sz="0" w:space="0" w:color="auto"/>
      </w:divBdr>
      <w:divsChild>
        <w:div w:id="1601716875">
          <w:marLeft w:val="0"/>
          <w:marRight w:val="0"/>
          <w:marTop w:val="0"/>
          <w:marBottom w:val="0"/>
          <w:divBdr>
            <w:top w:val="none" w:sz="0" w:space="0" w:color="auto"/>
            <w:left w:val="none" w:sz="0" w:space="0" w:color="auto"/>
            <w:bottom w:val="none" w:sz="0" w:space="0" w:color="auto"/>
            <w:right w:val="none" w:sz="0" w:space="0" w:color="auto"/>
          </w:divBdr>
        </w:div>
        <w:div w:id="1488132326">
          <w:marLeft w:val="0"/>
          <w:marRight w:val="0"/>
          <w:marTop w:val="0"/>
          <w:marBottom w:val="0"/>
          <w:divBdr>
            <w:top w:val="none" w:sz="0" w:space="0" w:color="auto"/>
            <w:left w:val="none" w:sz="0" w:space="0" w:color="auto"/>
            <w:bottom w:val="none" w:sz="0" w:space="0" w:color="auto"/>
            <w:right w:val="none" w:sz="0" w:space="0" w:color="auto"/>
          </w:divBdr>
        </w:div>
      </w:divsChild>
    </w:div>
    <w:div w:id="1428499435">
      <w:bodyDiv w:val="1"/>
      <w:marLeft w:val="0"/>
      <w:marRight w:val="0"/>
      <w:marTop w:val="0"/>
      <w:marBottom w:val="0"/>
      <w:divBdr>
        <w:top w:val="none" w:sz="0" w:space="0" w:color="auto"/>
        <w:left w:val="none" w:sz="0" w:space="0" w:color="auto"/>
        <w:bottom w:val="none" w:sz="0" w:space="0" w:color="auto"/>
        <w:right w:val="none" w:sz="0" w:space="0" w:color="auto"/>
      </w:divBdr>
      <w:divsChild>
        <w:div w:id="373963366">
          <w:marLeft w:val="0"/>
          <w:marRight w:val="0"/>
          <w:marTop w:val="0"/>
          <w:marBottom w:val="0"/>
          <w:divBdr>
            <w:top w:val="none" w:sz="0" w:space="0" w:color="auto"/>
            <w:left w:val="none" w:sz="0" w:space="0" w:color="auto"/>
            <w:bottom w:val="none" w:sz="0" w:space="0" w:color="auto"/>
            <w:right w:val="none" w:sz="0" w:space="0" w:color="auto"/>
          </w:divBdr>
        </w:div>
        <w:div w:id="1746342128">
          <w:marLeft w:val="0"/>
          <w:marRight w:val="0"/>
          <w:marTop w:val="0"/>
          <w:marBottom w:val="0"/>
          <w:divBdr>
            <w:top w:val="none" w:sz="0" w:space="0" w:color="auto"/>
            <w:left w:val="none" w:sz="0" w:space="0" w:color="auto"/>
            <w:bottom w:val="none" w:sz="0" w:space="0" w:color="auto"/>
            <w:right w:val="none" w:sz="0" w:space="0" w:color="auto"/>
          </w:divBdr>
        </w:div>
        <w:div w:id="1442647077">
          <w:marLeft w:val="0"/>
          <w:marRight w:val="0"/>
          <w:marTop w:val="0"/>
          <w:marBottom w:val="0"/>
          <w:divBdr>
            <w:top w:val="none" w:sz="0" w:space="0" w:color="auto"/>
            <w:left w:val="none" w:sz="0" w:space="0" w:color="auto"/>
            <w:bottom w:val="none" w:sz="0" w:space="0" w:color="auto"/>
            <w:right w:val="none" w:sz="0" w:space="0" w:color="auto"/>
          </w:divBdr>
        </w:div>
        <w:div w:id="1701006076">
          <w:marLeft w:val="0"/>
          <w:marRight w:val="0"/>
          <w:marTop w:val="0"/>
          <w:marBottom w:val="0"/>
          <w:divBdr>
            <w:top w:val="none" w:sz="0" w:space="0" w:color="auto"/>
            <w:left w:val="none" w:sz="0" w:space="0" w:color="auto"/>
            <w:bottom w:val="none" w:sz="0" w:space="0" w:color="auto"/>
            <w:right w:val="none" w:sz="0" w:space="0" w:color="auto"/>
          </w:divBdr>
        </w:div>
      </w:divsChild>
    </w:div>
    <w:div w:id="1556041645">
      <w:bodyDiv w:val="1"/>
      <w:marLeft w:val="0"/>
      <w:marRight w:val="0"/>
      <w:marTop w:val="0"/>
      <w:marBottom w:val="0"/>
      <w:divBdr>
        <w:top w:val="none" w:sz="0" w:space="0" w:color="auto"/>
        <w:left w:val="none" w:sz="0" w:space="0" w:color="auto"/>
        <w:bottom w:val="none" w:sz="0" w:space="0" w:color="auto"/>
        <w:right w:val="none" w:sz="0" w:space="0" w:color="auto"/>
      </w:divBdr>
      <w:divsChild>
        <w:div w:id="1761679898">
          <w:marLeft w:val="0"/>
          <w:marRight w:val="0"/>
          <w:marTop w:val="0"/>
          <w:marBottom w:val="0"/>
          <w:divBdr>
            <w:top w:val="none" w:sz="0" w:space="0" w:color="auto"/>
            <w:left w:val="none" w:sz="0" w:space="0" w:color="auto"/>
            <w:bottom w:val="none" w:sz="0" w:space="0" w:color="auto"/>
            <w:right w:val="none" w:sz="0" w:space="0" w:color="auto"/>
          </w:divBdr>
        </w:div>
        <w:div w:id="1908220442">
          <w:marLeft w:val="0"/>
          <w:marRight w:val="0"/>
          <w:marTop w:val="0"/>
          <w:marBottom w:val="0"/>
          <w:divBdr>
            <w:top w:val="none" w:sz="0" w:space="0" w:color="auto"/>
            <w:left w:val="none" w:sz="0" w:space="0" w:color="auto"/>
            <w:bottom w:val="none" w:sz="0" w:space="0" w:color="auto"/>
            <w:right w:val="none" w:sz="0" w:space="0" w:color="auto"/>
          </w:divBdr>
        </w:div>
      </w:divsChild>
    </w:div>
    <w:div w:id="1672951320">
      <w:bodyDiv w:val="1"/>
      <w:marLeft w:val="0"/>
      <w:marRight w:val="0"/>
      <w:marTop w:val="0"/>
      <w:marBottom w:val="0"/>
      <w:divBdr>
        <w:top w:val="none" w:sz="0" w:space="0" w:color="auto"/>
        <w:left w:val="none" w:sz="0" w:space="0" w:color="auto"/>
        <w:bottom w:val="none" w:sz="0" w:space="0" w:color="auto"/>
        <w:right w:val="none" w:sz="0" w:space="0" w:color="auto"/>
      </w:divBdr>
      <w:divsChild>
        <w:div w:id="725029288">
          <w:marLeft w:val="0"/>
          <w:marRight w:val="0"/>
          <w:marTop w:val="0"/>
          <w:marBottom w:val="0"/>
          <w:divBdr>
            <w:top w:val="none" w:sz="0" w:space="0" w:color="auto"/>
            <w:left w:val="none" w:sz="0" w:space="0" w:color="auto"/>
            <w:bottom w:val="none" w:sz="0" w:space="0" w:color="auto"/>
            <w:right w:val="none" w:sz="0" w:space="0" w:color="auto"/>
          </w:divBdr>
        </w:div>
        <w:div w:id="1865752932">
          <w:marLeft w:val="0"/>
          <w:marRight w:val="0"/>
          <w:marTop w:val="0"/>
          <w:marBottom w:val="0"/>
          <w:divBdr>
            <w:top w:val="none" w:sz="0" w:space="0" w:color="auto"/>
            <w:left w:val="none" w:sz="0" w:space="0" w:color="auto"/>
            <w:bottom w:val="none" w:sz="0" w:space="0" w:color="auto"/>
            <w:right w:val="none" w:sz="0" w:space="0" w:color="auto"/>
          </w:divBdr>
        </w:div>
        <w:div w:id="365445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pada.net/members/memPicFull.php/41/31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content.lib.washington.edu/cdm4/item_viewer.php?CISOROOT=/buildings&amp;CISOPTR=13532&amp;CISOBOX=1&amp;REC=1"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lange.org/CathedralCusco/Dsc00099.jpg" TargetMode="External"/><Relationship Id="rId20" Type="http://schemas.openxmlformats.org/officeDocument/2006/relationships/hyperlink" Target="http://www.perutourism.com/newsletter2/images/princesa2.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bienvenidaperu.com/English/Ediciones/Edicion47/capitan_princesa/body.htm" TargetMode="External"/><Relationship Id="rId10" Type="http://schemas.openxmlformats.org/officeDocument/2006/relationships/hyperlink" Target="http://www.artfact.com/auction-lot/cuzco-school-18th-century-.-our-lady-of-bethlehe-1-c-bb93a1847"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onhams.com/auctions/17954/lot/113/"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CAEE2E-3530-42B2-B36B-3BF8DDC6E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13</Pages>
  <Words>2021</Words>
  <Characters>11521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Sovey</dc:creator>
  <cp:lastModifiedBy>Princess Emily</cp:lastModifiedBy>
  <cp:revision>22</cp:revision>
  <dcterms:created xsi:type="dcterms:W3CDTF">2012-12-08T09:22:00Z</dcterms:created>
  <dcterms:modified xsi:type="dcterms:W3CDTF">2012-12-11T20:39:00Z</dcterms:modified>
</cp:coreProperties>
</file>