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11" w:rsidRDefault="00E27F11" w:rsidP="00E27F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B6E" w:rsidRPr="00E27F11" w:rsidRDefault="00604B6E" w:rsidP="00E27F1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F11">
        <w:rPr>
          <w:rFonts w:ascii="Times New Roman" w:hAnsi="Times New Roman" w:cs="Times New Roman"/>
          <w:b/>
          <w:sz w:val="24"/>
          <w:szCs w:val="24"/>
          <w:u w:val="single"/>
        </w:rPr>
        <w:t>Ethics and Culture Paper (4 pages)</w:t>
      </w:r>
      <w:r w:rsidRPr="00E27F11">
        <w:rPr>
          <w:rFonts w:ascii="Times New Roman" w:hAnsi="Times New Roman" w:cs="Times New Roman"/>
          <w:b/>
          <w:sz w:val="24"/>
          <w:szCs w:val="24"/>
        </w:rPr>
        <w:t>:</w:t>
      </w:r>
      <w:r w:rsidRPr="00E27F11">
        <w:rPr>
          <w:rFonts w:ascii="Times New Roman" w:hAnsi="Times New Roman" w:cs="Times New Roman"/>
          <w:sz w:val="24"/>
          <w:szCs w:val="24"/>
        </w:rPr>
        <w:t xml:space="preserve">  The goal of this paper is for the student to choose a piece of culture (e.g., a great painting, work of music, fiction, etc.) that not only exemplifies but </w:t>
      </w:r>
      <w:r w:rsidRPr="00E27F11">
        <w:rPr>
          <w:rFonts w:ascii="Times New Roman" w:hAnsi="Times New Roman" w:cs="Times New Roman"/>
          <w:i/>
          <w:iCs/>
          <w:sz w:val="24"/>
          <w:szCs w:val="24"/>
        </w:rPr>
        <w:t>further illuminates</w:t>
      </w:r>
      <w:r w:rsidRPr="00E27F11">
        <w:rPr>
          <w:rFonts w:ascii="Times New Roman" w:hAnsi="Times New Roman" w:cs="Times New Roman"/>
          <w:sz w:val="24"/>
          <w:szCs w:val="24"/>
        </w:rPr>
        <w:t xml:space="preserve"> a </w:t>
      </w:r>
      <w:r w:rsidR="002D3FEF" w:rsidRPr="00E27F11">
        <w:rPr>
          <w:rFonts w:ascii="Times New Roman" w:hAnsi="Times New Roman" w:cs="Times New Roman"/>
          <w:sz w:val="24"/>
          <w:szCs w:val="24"/>
        </w:rPr>
        <w:t xml:space="preserve">particular </w:t>
      </w:r>
      <w:r w:rsidRPr="00E27F11">
        <w:rPr>
          <w:rFonts w:ascii="Times New Roman" w:hAnsi="Times New Roman" w:cs="Times New Roman"/>
          <w:sz w:val="24"/>
          <w:szCs w:val="24"/>
        </w:rPr>
        <w:t>topic</w:t>
      </w:r>
      <w:r w:rsidR="002D3FEF" w:rsidRPr="00E27F11">
        <w:rPr>
          <w:rFonts w:ascii="Times New Roman" w:hAnsi="Times New Roman" w:cs="Times New Roman"/>
          <w:sz w:val="24"/>
          <w:szCs w:val="24"/>
        </w:rPr>
        <w:t xml:space="preserve"> or chapter</w:t>
      </w:r>
      <w:r w:rsidRPr="00E27F11">
        <w:rPr>
          <w:rFonts w:ascii="Times New Roman" w:hAnsi="Times New Roman" w:cs="Times New Roman"/>
          <w:sz w:val="24"/>
          <w:szCs w:val="24"/>
        </w:rPr>
        <w:t xml:space="preserve"> from class (e.g., </w:t>
      </w:r>
      <w:r w:rsidR="002D3FEF" w:rsidRPr="00E27F11">
        <w:rPr>
          <w:rFonts w:ascii="Times New Roman" w:hAnsi="Times New Roman" w:cs="Times New Roman"/>
          <w:sz w:val="24"/>
          <w:szCs w:val="24"/>
        </w:rPr>
        <w:t>morality of happiness, hope, sin, e</w:t>
      </w:r>
      <w:r w:rsidRPr="00E27F11">
        <w:rPr>
          <w:rFonts w:ascii="Times New Roman" w:hAnsi="Times New Roman" w:cs="Times New Roman"/>
          <w:sz w:val="24"/>
          <w:szCs w:val="24"/>
        </w:rPr>
        <w:t xml:space="preserve">tc.) </w:t>
      </w:r>
      <w:r w:rsidR="00E27F11" w:rsidRPr="00E27F11">
        <w:rPr>
          <w:rFonts w:ascii="Times New Roman" w:hAnsi="Times New Roman" w:cs="Times New Roman"/>
          <w:sz w:val="24"/>
          <w:szCs w:val="24"/>
        </w:rPr>
        <w:t>For example, someone discussing the sin of envy (</w:t>
      </w:r>
      <w:proofErr w:type="spellStart"/>
      <w:r w:rsidR="00E27F11" w:rsidRPr="00E27F1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E27F11" w:rsidRPr="00E27F11">
        <w:rPr>
          <w:rFonts w:ascii="Times New Roman" w:hAnsi="Times New Roman" w:cs="Times New Roman"/>
          <w:sz w:val="24"/>
          <w:szCs w:val="24"/>
        </w:rPr>
        <w:t>. 12), or the Catholic tradition of the afterlife (</w:t>
      </w:r>
      <w:proofErr w:type="spellStart"/>
      <w:r w:rsidR="00E27F11" w:rsidRPr="00E27F1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E27F11" w:rsidRPr="00E27F11">
        <w:rPr>
          <w:rFonts w:ascii="Times New Roman" w:hAnsi="Times New Roman" w:cs="Times New Roman"/>
          <w:sz w:val="24"/>
          <w:szCs w:val="24"/>
        </w:rPr>
        <w:t xml:space="preserve">. 13), could examine how a particular work provides more insight into how people exhibit and are shaped by envy, or how a cultural work might enrich our concept of the afterlife. </w:t>
      </w:r>
      <w:r w:rsidRPr="00E27F11">
        <w:rPr>
          <w:rFonts w:ascii="Times New Roman" w:hAnsi="Times New Roman" w:cs="Times New Roman"/>
          <w:sz w:val="24"/>
          <w:szCs w:val="24"/>
        </w:rPr>
        <w:t xml:space="preserve">You are to show how a class topic shows up and plays out </w:t>
      </w:r>
      <w:r w:rsidRPr="00E27F11">
        <w:rPr>
          <w:rFonts w:ascii="Times New Roman" w:hAnsi="Times New Roman" w:cs="Times New Roman"/>
          <w:i/>
          <w:sz w:val="24"/>
          <w:szCs w:val="24"/>
        </w:rPr>
        <w:t xml:space="preserve">in the details </w:t>
      </w:r>
      <w:r w:rsidRPr="00E27F11">
        <w:rPr>
          <w:rFonts w:ascii="Times New Roman" w:hAnsi="Times New Roman" w:cs="Times New Roman"/>
          <w:sz w:val="24"/>
          <w:szCs w:val="24"/>
        </w:rPr>
        <w:t>(imagery, events, conversations, actions, etc.) of the work. Note that you may argue how this piece of culture confirms and extends what was said in class, or how it challenges what was said in a class reading, etc.</w:t>
      </w:r>
    </w:p>
    <w:p w:rsidR="00607011" w:rsidRPr="00607011" w:rsidRDefault="00607011" w:rsidP="00607011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B6E" w:rsidRDefault="00604B6E" w:rsidP="00E27F11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F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REQUIREMENTS</w:t>
      </w:r>
      <w:r w:rsidRPr="00604B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7F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 pages </w:t>
      </w:r>
      <w:r w:rsidRPr="00E27F1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double-spaced</w:t>
      </w:r>
      <w:r w:rsidRPr="00604B6E">
        <w:rPr>
          <w:rFonts w:ascii="Times New Roman" w:eastAsia="Times New Roman" w:hAnsi="Times New Roman" w:cs="Times New Roman"/>
          <w:sz w:val="24"/>
          <w:szCs w:val="24"/>
        </w:rPr>
        <w:t>, 12 point</w:t>
      </w:r>
      <w:r w:rsidR="00E27F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4B6E">
        <w:rPr>
          <w:rFonts w:ascii="Times New Roman" w:eastAsia="Times New Roman" w:hAnsi="Times New Roman" w:cs="Times New Roman"/>
          <w:sz w:val="24"/>
          <w:szCs w:val="24"/>
        </w:rPr>
        <w:t xml:space="preserve"> Times New Roman font. In terms of citation/footnoting, </w:t>
      </w:r>
      <w:r w:rsidRPr="00604B6E">
        <w:rPr>
          <w:rFonts w:ascii="Times New Roman" w:eastAsia="Times New Roman" w:hAnsi="Times New Roman" w:cs="Times New Roman"/>
          <w:i/>
          <w:sz w:val="24"/>
          <w:szCs w:val="24"/>
        </w:rPr>
        <w:t xml:space="preserve">any format for doing so is fine. </w:t>
      </w:r>
      <w:r w:rsidRPr="00604B6E">
        <w:rPr>
          <w:rFonts w:ascii="Times New Roman" w:eastAsia="Times New Roman" w:hAnsi="Times New Roman" w:cs="Times New Roman"/>
          <w:sz w:val="24"/>
          <w:szCs w:val="24"/>
        </w:rPr>
        <w:t xml:space="preserve">Be sure to footnote at least two references from the </w:t>
      </w:r>
      <w:proofErr w:type="spellStart"/>
      <w:r w:rsidRPr="00604B6E">
        <w:rPr>
          <w:rFonts w:ascii="Times New Roman" w:eastAsia="Times New Roman" w:hAnsi="Times New Roman" w:cs="Times New Roman"/>
          <w:sz w:val="24"/>
          <w:szCs w:val="24"/>
        </w:rPr>
        <w:t>Mattison</w:t>
      </w:r>
      <w:proofErr w:type="spellEnd"/>
      <w:r w:rsidRPr="00604B6E">
        <w:rPr>
          <w:rFonts w:ascii="Times New Roman" w:eastAsia="Times New Roman" w:hAnsi="Times New Roman" w:cs="Times New Roman"/>
          <w:sz w:val="24"/>
          <w:szCs w:val="24"/>
        </w:rPr>
        <w:t xml:space="preserve"> book to ground your paper in course materials. You may also </w:t>
      </w:r>
      <w:r w:rsidR="00E27F11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604B6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04B6E">
        <w:rPr>
          <w:rFonts w:ascii="Times New Roman" w:eastAsia="Times New Roman" w:hAnsi="Times New Roman" w:cs="Times New Roman"/>
          <w:sz w:val="24"/>
          <w:szCs w:val="24"/>
        </w:rPr>
        <w:t>Mattison</w:t>
      </w:r>
      <w:proofErr w:type="spellEnd"/>
      <w:r w:rsidRPr="00604B6E">
        <w:rPr>
          <w:rFonts w:ascii="Times New Roman" w:eastAsia="Times New Roman" w:hAnsi="Times New Roman" w:cs="Times New Roman"/>
          <w:sz w:val="24"/>
          <w:szCs w:val="24"/>
        </w:rPr>
        <w:t xml:space="preserve"> chapter that is ahead in our syllabus schedule (e.g., justice, or chastity/sexuality). Footnote the Scruton reading once or more in your paper: for instance, you could </w:t>
      </w:r>
      <w:proofErr w:type="spellStart"/>
      <w:r w:rsidRPr="00604B6E">
        <w:rPr>
          <w:rFonts w:ascii="Times New Roman" w:eastAsia="Times New Roman" w:hAnsi="Times New Roman" w:cs="Times New Roman"/>
          <w:sz w:val="24"/>
          <w:szCs w:val="24"/>
        </w:rPr>
        <w:t>descibe</w:t>
      </w:r>
      <w:proofErr w:type="spellEnd"/>
      <w:r w:rsidRPr="00604B6E">
        <w:rPr>
          <w:rFonts w:ascii="Times New Roman" w:eastAsia="Times New Roman" w:hAnsi="Times New Roman" w:cs="Times New Roman"/>
          <w:sz w:val="24"/>
          <w:szCs w:val="24"/>
        </w:rPr>
        <w:t xml:space="preserve"> how a certain </w:t>
      </w:r>
      <w:r w:rsidR="00E27F11">
        <w:rPr>
          <w:rFonts w:ascii="Times New Roman" w:eastAsia="Times New Roman" w:hAnsi="Times New Roman" w:cs="Times New Roman"/>
          <w:sz w:val="24"/>
          <w:szCs w:val="24"/>
        </w:rPr>
        <w:t>aspect of the</w:t>
      </w:r>
      <w:r w:rsidRPr="00604B6E">
        <w:rPr>
          <w:rFonts w:ascii="Times New Roman" w:eastAsia="Times New Roman" w:hAnsi="Times New Roman" w:cs="Times New Roman"/>
          <w:sz w:val="24"/>
          <w:szCs w:val="24"/>
        </w:rPr>
        <w:t xml:space="preserve"> cultural work “invites our sympathy” with a moral idea, or “teaches us how to feel” about something, or encourages certain habits of thought/perception/feeling/</w:t>
      </w:r>
      <w:proofErr w:type="spellStart"/>
      <w:r w:rsidRPr="00604B6E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604B6E">
        <w:rPr>
          <w:rFonts w:ascii="Times New Roman" w:eastAsia="Times New Roman" w:hAnsi="Times New Roman" w:cs="Times New Roman"/>
          <w:sz w:val="24"/>
          <w:szCs w:val="24"/>
        </w:rPr>
        <w:t xml:space="preserve">, etc. At the same time, note that a work often presents two sides of a view and can be read as supporting different principles: e.g., people debate whether Carmen or Micaela is the real heroine of Bizet’s </w:t>
      </w:r>
      <w:r w:rsidRPr="00604B6E">
        <w:rPr>
          <w:rFonts w:ascii="Times New Roman" w:eastAsia="Times New Roman" w:hAnsi="Times New Roman" w:cs="Times New Roman"/>
          <w:i/>
          <w:sz w:val="24"/>
          <w:szCs w:val="24"/>
        </w:rPr>
        <w:t>Carmen</w:t>
      </w:r>
      <w:r w:rsidRPr="00604B6E">
        <w:rPr>
          <w:rFonts w:ascii="Times New Roman" w:eastAsia="Times New Roman" w:hAnsi="Times New Roman" w:cs="Times New Roman"/>
          <w:sz w:val="24"/>
          <w:szCs w:val="24"/>
        </w:rPr>
        <w:t xml:space="preserve">, whether Shakespeare’s </w:t>
      </w:r>
      <w:r w:rsidRPr="00604B6E">
        <w:rPr>
          <w:rFonts w:ascii="Times New Roman" w:eastAsia="Times New Roman" w:hAnsi="Times New Roman" w:cs="Times New Roman"/>
          <w:i/>
          <w:sz w:val="24"/>
          <w:szCs w:val="24"/>
        </w:rPr>
        <w:t xml:space="preserve">Henry V </w:t>
      </w:r>
      <w:r w:rsidRPr="00604B6E">
        <w:rPr>
          <w:rFonts w:ascii="Times New Roman" w:eastAsia="Times New Roman" w:hAnsi="Times New Roman" w:cs="Times New Roman"/>
          <w:sz w:val="24"/>
          <w:szCs w:val="24"/>
        </w:rPr>
        <w:t xml:space="preserve">or Tolkien’s </w:t>
      </w:r>
      <w:r w:rsidRPr="00604B6E">
        <w:rPr>
          <w:rFonts w:ascii="Times New Roman" w:eastAsia="Times New Roman" w:hAnsi="Times New Roman" w:cs="Times New Roman"/>
          <w:i/>
          <w:sz w:val="24"/>
          <w:szCs w:val="24"/>
        </w:rPr>
        <w:t xml:space="preserve">Lord of the Rings </w:t>
      </w:r>
      <w:r w:rsidRPr="00604B6E">
        <w:rPr>
          <w:rFonts w:ascii="Times New Roman" w:eastAsia="Times New Roman" w:hAnsi="Times New Roman" w:cs="Times New Roman"/>
          <w:sz w:val="24"/>
          <w:szCs w:val="24"/>
        </w:rPr>
        <w:t>is wholeheartedly pro-war or calls it into question, etc.</w:t>
      </w:r>
    </w:p>
    <w:p w:rsidR="00607011" w:rsidRDefault="00607011" w:rsidP="00607011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7F11" w:rsidRPr="00E27F11" w:rsidRDefault="00604B6E" w:rsidP="00E27F11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F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FEW</w:t>
      </w:r>
      <w:r w:rsidR="00491F5D" w:rsidRPr="00E27F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SUGGESTED/EXAMPLE</w:t>
      </w:r>
      <w:r w:rsidR="002D3FEF" w:rsidRPr="00E27F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TOPICS </w:t>
      </w:r>
    </w:p>
    <w:p w:rsidR="00491F5D" w:rsidRPr="00E27F11" w:rsidRDefault="002D3FEF" w:rsidP="00E27F11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F11">
        <w:rPr>
          <w:rFonts w:ascii="Times New Roman" w:eastAsia="Times New Roman" w:hAnsi="Times New Roman" w:cs="Times New Roman"/>
          <w:sz w:val="24"/>
          <w:szCs w:val="24"/>
        </w:rPr>
        <w:t xml:space="preserve">(note: all chapter references are to the </w:t>
      </w:r>
      <w:proofErr w:type="spellStart"/>
      <w:r w:rsidRPr="00E27F11">
        <w:rPr>
          <w:rFonts w:ascii="Times New Roman" w:eastAsia="Times New Roman" w:hAnsi="Times New Roman" w:cs="Times New Roman"/>
          <w:sz w:val="24"/>
          <w:szCs w:val="24"/>
        </w:rPr>
        <w:t>Mattison</w:t>
      </w:r>
      <w:proofErr w:type="spellEnd"/>
      <w:r w:rsidRPr="00E27F11">
        <w:rPr>
          <w:rFonts w:ascii="Times New Roman" w:eastAsia="Times New Roman" w:hAnsi="Times New Roman" w:cs="Times New Roman"/>
          <w:sz w:val="24"/>
          <w:szCs w:val="24"/>
        </w:rPr>
        <w:t xml:space="preserve"> textbook)</w:t>
      </w:r>
    </w:p>
    <w:p w:rsidR="00274150" w:rsidRDefault="00274150" w:rsidP="0027415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4150" w:rsidRDefault="00604B6E" w:rsidP="0027415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Sexuality/lust/chastity </w:t>
      </w:r>
      <w:r w:rsidR="002D3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D3FEF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2D3FEF">
        <w:rPr>
          <w:rFonts w:ascii="Times New Roman" w:eastAsia="Times New Roman" w:hAnsi="Times New Roman" w:cs="Times New Roman"/>
          <w:sz w:val="24"/>
          <w:szCs w:val="24"/>
        </w:rPr>
        <w:t xml:space="preserve">. 17)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Bizet’s </w:t>
      </w:r>
      <w:r w:rsidRPr="00DE7E8B">
        <w:rPr>
          <w:rFonts w:ascii="Times New Roman" w:eastAsia="Times New Roman" w:hAnsi="Times New Roman" w:cs="Times New Roman"/>
          <w:i/>
          <w:sz w:val="24"/>
          <w:szCs w:val="24"/>
        </w:rPr>
        <w:t>Carmen</w:t>
      </w:r>
      <w:r w:rsidR="00274150">
        <w:rPr>
          <w:rFonts w:ascii="Times New Roman" w:eastAsia="Times New Roman" w:hAnsi="Times New Roman" w:cs="Times New Roman"/>
          <w:sz w:val="24"/>
          <w:szCs w:val="24"/>
        </w:rPr>
        <w:t xml:space="preserve">(available to video stream through </w:t>
      </w:r>
    </w:p>
    <w:p w:rsidR="00604B6E" w:rsidRDefault="00274150" w:rsidP="0027415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CUA libraries, search databases under “Met Opera In Demand”)</w:t>
      </w:r>
    </w:p>
    <w:p w:rsidR="00274150" w:rsidRDefault="002D3FEF" w:rsidP="0027415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17) or choosing Hell </w:t>
      </w:r>
      <w:r w:rsidR="00604B6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04B6E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604B6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604B6E">
        <w:rPr>
          <w:rFonts w:ascii="Times New Roman" w:eastAsia="Times New Roman" w:hAnsi="Times New Roman" w:cs="Times New Roman"/>
          <w:sz w:val="24"/>
          <w:szCs w:val="24"/>
        </w:rPr>
        <w:t xml:space="preserve">) in Mozart’s </w:t>
      </w:r>
      <w:r w:rsidR="00604B6E" w:rsidRPr="003046F9">
        <w:rPr>
          <w:rFonts w:ascii="Times New Roman" w:eastAsia="Times New Roman" w:hAnsi="Times New Roman" w:cs="Times New Roman"/>
          <w:i/>
          <w:sz w:val="24"/>
          <w:szCs w:val="24"/>
        </w:rPr>
        <w:t>Don Giovanni</w:t>
      </w:r>
      <w:r w:rsidR="00274150">
        <w:rPr>
          <w:rFonts w:ascii="Times New Roman" w:eastAsia="Times New Roman" w:hAnsi="Times New Roman" w:cs="Times New Roman"/>
          <w:sz w:val="24"/>
          <w:szCs w:val="24"/>
        </w:rPr>
        <w:t xml:space="preserve"> (also through Met Opera </w:t>
      </w:r>
    </w:p>
    <w:p w:rsidR="00604B6E" w:rsidRPr="00274150" w:rsidRDefault="00274150" w:rsidP="0027415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Demand)</w:t>
      </w:r>
    </w:p>
    <w:p w:rsidR="00604B6E" w:rsidRPr="00134EBE" w:rsidRDefault="00604B6E" w:rsidP="00E27F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Envy or gluttony </w:t>
      </w:r>
      <w:r w:rsidR="002D3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D3FEF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2D3FEF">
        <w:rPr>
          <w:rFonts w:ascii="Times New Roman" w:eastAsia="Times New Roman" w:hAnsi="Times New Roman" w:cs="Times New Roman"/>
          <w:sz w:val="24"/>
          <w:szCs w:val="24"/>
        </w:rPr>
        <w:t xml:space="preserve">. 12)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Dante’s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Purgatorio</w:t>
      </w:r>
      <w:proofErr w:type="spellEnd"/>
    </w:p>
    <w:p w:rsidR="00604B6E" w:rsidRPr="00134EBE" w:rsidRDefault="00604B6E" w:rsidP="00E27F1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Hope </w:t>
      </w:r>
      <w:r w:rsidR="002D3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D3FEF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2D3FEF">
        <w:rPr>
          <w:rFonts w:ascii="Times New Roman" w:eastAsia="Times New Roman" w:hAnsi="Times New Roman" w:cs="Times New Roman"/>
          <w:sz w:val="24"/>
          <w:szCs w:val="24"/>
        </w:rPr>
        <w:t xml:space="preserve">. 13)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Michelangelo’s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Last Judgment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(Sistine chapel)</w:t>
      </w:r>
    </w:p>
    <w:p w:rsidR="00604B6E" w:rsidRPr="003046F9" w:rsidRDefault="00604B6E" w:rsidP="00E27F1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question of “just war” </w:t>
      </w:r>
      <w:r w:rsidR="002D3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D3FEF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2D3FEF">
        <w:rPr>
          <w:rFonts w:ascii="Times New Roman" w:eastAsia="Times New Roman" w:hAnsi="Times New Roman" w:cs="Times New Roman"/>
          <w:sz w:val="24"/>
          <w:szCs w:val="24"/>
        </w:rPr>
        <w:t xml:space="preserve"> 7)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Shakespeare’s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Henry V</w:t>
      </w:r>
    </w:p>
    <w:p w:rsidR="00604B6E" w:rsidRPr="00ED2F6F" w:rsidRDefault="00604B6E" w:rsidP="00E27F11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Justice/injustice </w:t>
      </w:r>
      <w:r w:rsidR="002D3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D3FEF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2D3FEF">
        <w:rPr>
          <w:rFonts w:ascii="Times New Roman" w:eastAsia="Times New Roman" w:hAnsi="Times New Roman" w:cs="Times New Roman"/>
          <w:sz w:val="24"/>
          <w:szCs w:val="24"/>
        </w:rPr>
        <w:t xml:space="preserve">. 7)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J.M.W. Turner’s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Slave Ship</w:t>
      </w:r>
    </w:p>
    <w:p w:rsidR="00604B6E" w:rsidRPr="00ED2F6F" w:rsidRDefault="00604B6E" w:rsidP="00E27F1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Jesus Christ </w:t>
      </w:r>
      <w:r w:rsidR="002D3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D3FEF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2D3FEF">
        <w:rPr>
          <w:rFonts w:ascii="Times New Roman" w:eastAsia="Times New Roman" w:hAnsi="Times New Roman" w:cs="Times New Roman"/>
          <w:sz w:val="24"/>
          <w:szCs w:val="24"/>
        </w:rPr>
        <w:t xml:space="preserve"> 14)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Christmas Story in Art </w:t>
      </w:r>
      <w:r>
        <w:rPr>
          <w:rFonts w:ascii="Times New Roman" w:eastAsia="Times New Roman" w:hAnsi="Times New Roman" w:cs="Times New Roman"/>
          <w:sz w:val="24"/>
          <w:szCs w:val="24"/>
        </w:rPr>
        <w:t>(NGA</w:t>
      </w:r>
    </w:p>
    <w:p w:rsidR="00604B6E" w:rsidRPr="00ED2F6F" w:rsidRDefault="00604B6E" w:rsidP="00E27F11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Morality of happiness </w:t>
      </w:r>
      <w:r w:rsidR="002D3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D3FEF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2D3FEF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Dickens’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Christmas Carol</w:t>
      </w:r>
    </w:p>
    <w:p w:rsidR="00604B6E" w:rsidRPr="00ED2F6F" w:rsidRDefault="00604B6E" w:rsidP="00E27F11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Pride </w:t>
      </w:r>
      <w:r w:rsidR="002D3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D3FEF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2D3FEF">
        <w:rPr>
          <w:rFonts w:ascii="Times New Roman" w:eastAsia="Times New Roman" w:hAnsi="Times New Roman" w:cs="Times New Roman"/>
          <w:sz w:val="24"/>
          <w:szCs w:val="24"/>
        </w:rPr>
        <w:t xml:space="preserve"> 12)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Jane Austen’s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Pride and Prejudice</w:t>
      </w:r>
    </w:p>
    <w:p w:rsidR="002D3FEF" w:rsidRPr="00F06E28" w:rsidRDefault="002D3FEF" w:rsidP="00E27F1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Sin/repentance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12) in Samuel Taylor Coleridge’s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Rime of the Ancient Mariner</w:t>
      </w:r>
    </w:p>
    <w:p w:rsidR="002D3FEF" w:rsidRDefault="002D3FEF" w:rsidP="00E27F1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Moral freedom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2) in </w:t>
      </w:r>
      <w:r w:rsidR="00E27F11">
        <w:rPr>
          <w:rFonts w:ascii="Times New Roman" w:eastAsia="Times New Roman" w:hAnsi="Times New Roman" w:cs="Times New Roman"/>
          <w:sz w:val="24"/>
          <w:szCs w:val="24"/>
        </w:rPr>
        <w:t>???</w:t>
      </w:r>
    </w:p>
    <w:p w:rsidR="00604B6E" w:rsidRDefault="00604B6E" w:rsidP="00E27F1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Growth in virtue </w:t>
      </w:r>
      <w:r w:rsidR="002D3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D3FEF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2D3FEF">
        <w:rPr>
          <w:rFonts w:ascii="Times New Roman" w:eastAsia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E27F11">
        <w:rPr>
          <w:rFonts w:ascii="Times New Roman" w:eastAsia="Times New Roman" w:hAnsi="Times New Roman" w:cs="Times New Roman"/>
          <w:sz w:val="24"/>
          <w:szCs w:val="24"/>
        </w:rPr>
        <w:t>???</w:t>
      </w:r>
    </w:p>
    <w:p w:rsidR="00604B6E" w:rsidRDefault="00E27F11" w:rsidP="00E27F1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Charity in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15) in ???</w:t>
      </w:r>
    </w:p>
    <w:p w:rsidR="00604B6E" w:rsidRDefault="00604B6E" w:rsidP="00E27F1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607011" w:rsidRDefault="00607011" w:rsidP="00607011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D62" w:rsidRDefault="00856D62" w:rsidP="00607011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D62" w:rsidRDefault="00856D62" w:rsidP="00607011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A1151" w:rsidRDefault="00E27F11" w:rsidP="00E27F11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REGARDING </w:t>
      </w:r>
      <w:r w:rsidR="00BA1151" w:rsidRPr="00E27F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CHOICE OF TOPIC: </w:t>
      </w:r>
    </w:p>
    <w:p w:rsidR="001937A3" w:rsidRPr="00E27F11" w:rsidRDefault="00BA1151" w:rsidP="00E27F11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F11">
        <w:rPr>
          <w:rFonts w:ascii="Times New Roman" w:eastAsia="Times New Roman" w:hAnsi="Times New Roman" w:cs="Times New Roman"/>
          <w:sz w:val="24"/>
          <w:szCs w:val="24"/>
        </w:rPr>
        <w:t>If you pick a longer work</w:t>
      </w:r>
      <w:r w:rsidR="00E27F11" w:rsidRPr="00E27F11">
        <w:rPr>
          <w:rFonts w:ascii="Times New Roman" w:eastAsia="Times New Roman" w:hAnsi="Times New Roman" w:cs="Times New Roman"/>
          <w:sz w:val="24"/>
          <w:szCs w:val="24"/>
        </w:rPr>
        <w:t xml:space="preserve"> (e.g., novel vs. poem)</w:t>
      </w:r>
      <w:r w:rsidRPr="00E27F11">
        <w:rPr>
          <w:rFonts w:ascii="Times New Roman" w:eastAsia="Times New Roman" w:hAnsi="Times New Roman" w:cs="Times New Roman"/>
          <w:sz w:val="24"/>
          <w:szCs w:val="24"/>
        </w:rPr>
        <w:t xml:space="preserve">, don’t worry. You don’t need to “sum up” the entire work; you just need to engage the parts that are relevant to the moral topic. </w:t>
      </w:r>
      <w:r w:rsidRPr="00E27F11">
        <w:rPr>
          <w:rFonts w:ascii="Times New Roman" w:eastAsia="Times New Roman" w:hAnsi="Times New Roman" w:cs="Times New Roman"/>
          <w:i/>
          <w:sz w:val="24"/>
          <w:szCs w:val="24"/>
        </w:rPr>
        <w:t>You may choose</w:t>
      </w:r>
      <w:r w:rsidR="009A0D6C" w:rsidRPr="00E27F11">
        <w:rPr>
          <w:rFonts w:ascii="Times New Roman" w:eastAsia="Times New Roman" w:hAnsi="Times New Roman" w:cs="Times New Roman"/>
          <w:i/>
          <w:sz w:val="24"/>
          <w:szCs w:val="24"/>
        </w:rPr>
        <w:t xml:space="preserve"> something like a contemporary movie</w:t>
      </w:r>
      <w:r w:rsidR="009A0D6C" w:rsidRPr="00E27F11">
        <w:rPr>
          <w:rFonts w:ascii="Times New Roman" w:eastAsia="Times New Roman" w:hAnsi="Times New Roman" w:cs="Times New Roman"/>
          <w:sz w:val="24"/>
          <w:szCs w:val="24"/>
        </w:rPr>
        <w:t xml:space="preserve">, etc., but while you could still get a </w:t>
      </w:r>
      <w:r w:rsidRPr="00E27F11">
        <w:rPr>
          <w:rFonts w:ascii="Times New Roman" w:eastAsia="Times New Roman" w:hAnsi="Times New Roman" w:cs="Times New Roman"/>
          <w:sz w:val="24"/>
          <w:szCs w:val="24"/>
        </w:rPr>
        <w:t>perfect</w:t>
      </w:r>
      <w:r w:rsidR="009A0D6C" w:rsidRPr="00E27F11">
        <w:rPr>
          <w:rFonts w:ascii="Times New Roman" w:eastAsia="Times New Roman" w:hAnsi="Times New Roman" w:cs="Times New Roman"/>
          <w:sz w:val="24"/>
          <w:szCs w:val="24"/>
        </w:rPr>
        <w:t xml:space="preserve"> grade doing so, you will automatically get a bonus point </w:t>
      </w:r>
      <w:r w:rsidR="003C1E16" w:rsidRPr="00E27F11">
        <w:rPr>
          <w:rFonts w:ascii="Times New Roman" w:eastAsia="Times New Roman" w:hAnsi="Times New Roman" w:cs="Times New Roman"/>
          <w:sz w:val="24"/>
          <w:szCs w:val="24"/>
        </w:rPr>
        <w:t xml:space="preserve">(e.g., </w:t>
      </w:r>
      <w:r w:rsidR="009A0D6C" w:rsidRPr="00E27F11">
        <w:rPr>
          <w:rFonts w:ascii="Times New Roman" w:eastAsia="Times New Roman" w:hAnsi="Times New Roman" w:cs="Times New Roman"/>
          <w:sz w:val="24"/>
          <w:szCs w:val="24"/>
        </w:rPr>
        <w:t xml:space="preserve">assigned grade of </w:t>
      </w:r>
      <w:r w:rsidR="003C1E16" w:rsidRPr="00E27F11">
        <w:rPr>
          <w:rFonts w:ascii="Times New Roman" w:eastAsia="Times New Roman" w:hAnsi="Times New Roman" w:cs="Times New Roman"/>
          <w:sz w:val="24"/>
          <w:szCs w:val="24"/>
        </w:rPr>
        <w:t xml:space="preserve">solid </w:t>
      </w:r>
      <w:r w:rsidR="009A0D6C" w:rsidRPr="00E27F11">
        <w:rPr>
          <w:rFonts w:ascii="Times New Roman" w:eastAsia="Times New Roman" w:hAnsi="Times New Roman" w:cs="Times New Roman"/>
          <w:sz w:val="24"/>
          <w:szCs w:val="24"/>
        </w:rPr>
        <w:t>B+ would be bumped up to A-) for doing a “classical” work such as those listed above</w:t>
      </w:r>
      <w:r w:rsidR="00491F5D" w:rsidRPr="00E27F11">
        <w:rPr>
          <w:rFonts w:ascii="Times New Roman" w:eastAsia="Times New Roman" w:hAnsi="Times New Roman" w:cs="Times New Roman"/>
          <w:sz w:val="24"/>
          <w:szCs w:val="24"/>
        </w:rPr>
        <w:t xml:space="preserve">, or something similar </w:t>
      </w:r>
      <w:r w:rsidR="009A0D6C" w:rsidRPr="00E27F1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1F5D" w:rsidRPr="00E27F11">
        <w:rPr>
          <w:rFonts w:ascii="Times New Roman" w:eastAsia="Times New Roman" w:hAnsi="Times New Roman" w:cs="Times New Roman"/>
          <w:sz w:val="24"/>
          <w:szCs w:val="24"/>
        </w:rPr>
        <w:t>such works</w:t>
      </w:r>
      <w:r w:rsidR="009A0D6C" w:rsidRPr="00E27F11">
        <w:rPr>
          <w:rFonts w:ascii="Times New Roman" w:eastAsia="Times New Roman" w:hAnsi="Times New Roman" w:cs="Times New Roman"/>
          <w:sz w:val="24"/>
          <w:szCs w:val="24"/>
        </w:rPr>
        <w:t xml:space="preserve"> are typically more complex</w:t>
      </w:r>
      <w:r w:rsidR="00E27F11" w:rsidRPr="00E27F11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E27F11">
        <w:rPr>
          <w:rFonts w:ascii="Times New Roman" w:eastAsia="Times New Roman" w:hAnsi="Times New Roman" w:cs="Times New Roman"/>
          <w:sz w:val="24"/>
          <w:szCs w:val="24"/>
        </w:rPr>
        <w:t xml:space="preserve"> well-established,</w:t>
      </w:r>
      <w:r w:rsidR="009A0D6C" w:rsidRPr="00E27F11">
        <w:rPr>
          <w:rFonts w:ascii="Times New Roman" w:eastAsia="Times New Roman" w:hAnsi="Times New Roman" w:cs="Times New Roman"/>
          <w:sz w:val="24"/>
          <w:szCs w:val="24"/>
        </w:rPr>
        <w:t xml:space="preserve"> pushing </w:t>
      </w:r>
      <w:r w:rsidR="00E27F11">
        <w:rPr>
          <w:rFonts w:ascii="Times New Roman" w:eastAsia="Times New Roman" w:hAnsi="Times New Roman" w:cs="Times New Roman"/>
          <w:sz w:val="24"/>
          <w:szCs w:val="24"/>
        </w:rPr>
        <w:t>reflection</w:t>
      </w:r>
      <w:r w:rsidR="009A0D6C" w:rsidRPr="00E27F11">
        <w:rPr>
          <w:rFonts w:ascii="Times New Roman" w:eastAsia="Times New Roman" w:hAnsi="Times New Roman" w:cs="Times New Roman"/>
          <w:sz w:val="24"/>
          <w:szCs w:val="24"/>
        </w:rPr>
        <w:t xml:space="preserve"> a bit more).</w:t>
      </w:r>
      <w:r w:rsidRPr="00E27F11">
        <w:rPr>
          <w:rFonts w:ascii="Times New Roman" w:eastAsia="Times New Roman" w:hAnsi="Times New Roman" w:cs="Times New Roman"/>
          <w:sz w:val="24"/>
          <w:szCs w:val="24"/>
        </w:rPr>
        <w:t xml:space="preserve"> This bonus point can be “banked:” i.e., if you would have gotten an A anyway, your </w:t>
      </w:r>
      <w:r w:rsidRPr="00E27F11">
        <w:rPr>
          <w:rFonts w:ascii="Times New Roman" w:eastAsia="Times New Roman" w:hAnsi="Times New Roman" w:cs="Times New Roman"/>
          <w:i/>
          <w:sz w:val="24"/>
          <w:szCs w:val="24"/>
        </w:rPr>
        <w:t xml:space="preserve">overall </w:t>
      </w:r>
      <w:r w:rsidRPr="00E27F11">
        <w:rPr>
          <w:rFonts w:ascii="Times New Roman" w:eastAsia="Times New Roman" w:hAnsi="Times New Roman" w:cs="Times New Roman"/>
          <w:sz w:val="24"/>
          <w:szCs w:val="24"/>
        </w:rPr>
        <w:t>grade will get a bonus point instead.</w:t>
      </w:r>
    </w:p>
    <w:p w:rsidR="001937A3" w:rsidRDefault="001937A3" w:rsidP="001937A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937A3" w:rsidSect="00467D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FC"/>
    <w:multiLevelType w:val="multilevel"/>
    <w:tmpl w:val="4BE86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D51564A"/>
    <w:multiLevelType w:val="hybridMultilevel"/>
    <w:tmpl w:val="834E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82320"/>
    <w:multiLevelType w:val="multilevel"/>
    <w:tmpl w:val="521ED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A586D7A"/>
    <w:multiLevelType w:val="multilevel"/>
    <w:tmpl w:val="48BCD8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7A3"/>
    <w:rsid w:val="00134EBE"/>
    <w:rsid w:val="001937A3"/>
    <w:rsid w:val="002526A2"/>
    <w:rsid w:val="00274150"/>
    <w:rsid w:val="002D3FEF"/>
    <w:rsid w:val="003046F9"/>
    <w:rsid w:val="003C1E16"/>
    <w:rsid w:val="004527E8"/>
    <w:rsid w:val="00467DC6"/>
    <w:rsid w:val="00491F5D"/>
    <w:rsid w:val="00604B6E"/>
    <w:rsid w:val="00607011"/>
    <w:rsid w:val="007048D4"/>
    <w:rsid w:val="00856D62"/>
    <w:rsid w:val="008A6D91"/>
    <w:rsid w:val="009A0D6C"/>
    <w:rsid w:val="009B2B82"/>
    <w:rsid w:val="00BA1151"/>
    <w:rsid w:val="00DE7E8B"/>
    <w:rsid w:val="00E27F11"/>
    <w:rsid w:val="00E60F97"/>
    <w:rsid w:val="00E63667"/>
    <w:rsid w:val="00ED2F6F"/>
    <w:rsid w:val="00ED3773"/>
    <w:rsid w:val="00EF64B0"/>
    <w:rsid w:val="00F06E28"/>
    <w:rsid w:val="00F8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37A3"/>
    <w:pPr>
      <w:spacing w:after="0" w:line="276" w:lineRule="auto"/>
    </w:pPr>
    <w:rPr>
      <w:rFonts w:ascii="Arial" w:eastAsia="Arial" w:hAnsi="Arial" w:cs="Arial"/>
      <w:sz w:val="22"/>
      <w:lang/>
    </w:rPr>
  </w:style>
  <w:style w:type="paragraph" w:styleId="Heading2">
    <w:name w:val="heading 2"/>
    <w:basedOn w:val="Normal"/>
    <w:next w:val="Normal"/>
    <w:link w:val="Heading2Char"/>
    <w:qFormat/>
    <w:rsid w:val="002526A2"/>
    <w:pPr>
      <w:keepNext/>
      <w:keepLines/>
      <w:spacing w:before="360" w:after="120"/>
      <w:contextualSpacing/>
      <w:outlineLvl w:val="1"/>
    </w:pPr>
    <w:rPr>
      <w:b/>
      <w:sz w:val="32"/>
      <w:szCs w:val="32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6A2"/>
    <w:rPr>
      <w:rFonts w:eastAsia="Arial" w:cs="Arial"/>
      <w:b/>
      <w:sz w:val="32"/>
      <w:szCs w:val="32"/>
      <w:vertAlign w:val="subscript"/>
      <w:lang/>
    </w:rPr>
  </w:style>
  <w:style w:type="paragraph" w:styleId="ListParagraph">
    <w:name w:val="List Paragraph"/>
    <w:basedOn w:val="Normal"/>
    <w:uiPriority w:val="34"/>
    <w:qFormat/>
    <w:rsid w:val="00604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Elliot, David</dc:creator>
  <cp:lastModifiedBy>Hellen</cp:lastModifiedBy>
  <cp:revision>2</cp:revision>
  <dcterms:created xsi:type="dcterms:W3CDTF">2019-03-21T03:01:00Z</dcterms:created>
  <dcterms:modified xsi:type="dcterms:W3CDTF">2019-03-21T03:01:00Z</dcterms:modified>
</cp:coreProperties>
</file>