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3C86" w14:textId="06409C5E" w:rsidR="00C04A70" w:rsidRDefault="00C04A70" w:rsidP="00C04A70">
      <w:pPr>
        <w:pStyle w:val="Heading1"/>
        <w:jc w:val="left"/>
      </w:pPr>
      <w:r w:rsidRPr="005C5550">
        <w:rPr>
          <w:i/>
          <w:noProof/>
        </w:rPr>
        <w:drawing>
          <wp:inline distT="0" distB="0" distL="0" distR="0" wp14:anchorId="77BB7446" wp14:editId="42DBDE1A">
            <wp:extent cx="2442281" cy="546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08" cy="5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692F" w14:textId="77777777" w:rsidR="00C04A70" w:rsidRDefault="00C04A70" w:rsidP="00D47736">
      <w:pPr>
        <w:pStyle w:val="Heading1"/>
      </w:pPr>
    </w:p>
    <w:p w14:paraId="2B7DB5CC" w14:textId="1B3E9E80" w:rsidR="003B2FE9" w:rsidRPr="00D47736" w:rsidRDefault="00940B69" w:rsidP="00D47736">
      <w:pPr>
        <w:pStyle w:val="Heading1"/>
      </w:pPr>
      <w:r w:rsidRPr="00D47736">
        <w:t>Literacy</w:t>
      </w:r>
      <w:r w:rsidR="008C6AD4">
        <w:t xml:space="preserve"> </w:t>
      </w:r>
      <w:r w:rsidR="00CF29E2">
        <w:t>Lesson Plan</w:t>
      </w:r>
      <w:r w:rsidR="008C6AD4" w:rsidRPr="008C6AD4">
        <w:t xml:space="preserve"> and Rationale</w:t>
      </w:r>
    </w:p>
    <w:p w14:paraId="10B42F20" w14:textId="22CC11D6" w:rsidR="003B2FE9" w:rsidRPr="00D47736" w:rsidRDefault="003B2FE9" w:rsidP="00D47736">
      <w:pPr>
        <w:pStyle w:val="Heading1"/>
      </w:pPr>
      <w:r w:rsidRPr="00D47736">
        <w:t>Benchmark Ass</w:t>
      </w:r>
      <w:r w:rsidR="00C718D3" w:rsidRPr="00D47736">
        <w:t>ign</w:t>
      </w:r>
      <w:r w:rsidRPr="00D47736">
        <w:t>ment and Rubric</w:t>
      </w:r>
    </w:p>
    <w:p w14:paraId="3EC23D7F" w14:textId="09D4FB23" w:rsidR="003B2FE9" w:rsidRPr="002C6086" w:rsidRDefault="003B2FE9" w:rsidP="00D33B83">
      <w:pPr>
        <w:pStyle w:val="Heading2"/>
        <w:spacing w:before="120"/>
        <w:rPr>
          <w:rFonts w:ascii="Times New Roman" w:hAnsi="Times New Roman"/>
        </w:rPr>
      </w:pPr>
      <w:r w:rsidRPr="002C6086">
        <w:rPr>
          <w:rFonts w:ascii="Times New Roman" w:hAnsi="Times New Roman"/>
        </w:rPr>
        <w:t>Ass</w:t>
      </w:r>
      <w:r w:rsidR="00C718D3">
        <w:rPr>
          <w:rFonts w:ascii="Times New Roman" w:hAnsi="Times New Roman"/>
        </w:rPr>
        <w:t>ign</w:t>
      </w:r>
      <w:r w:rsidRPr="002C6086">
        <w:rPr>
          <w:rFonts w:ascii="Times New Roman" w:hAnsi="Times New Roman"/>
        </w:rPr>
        <w:t>ment Instructions:</w:t>
      </w:r>
    </w:p>
    <w:p w14:paraId="2B66C55B" w14:textId="677733D9" w:rsidR="0086691F" w:rsidRDefault="0086691F" w:rsidP="00196820">
      <w:pPr>
        <w:autoSpaceDE w:val="0"/>
        <w:autoSpaceDN w:val="0"/>
        <w:adjustRightInd w:val="0"/>
        <w:spacing w:after="12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For this benchmar</w:t>
      </w:r>
      <w:r w:rsidR="00EE08A0">
        <w:rPr>
          <w:shd w:val="clear" w:color="auto" w:fill="FFFFFF" w:themeFill="background1"/>
        </w:rPr>
        <w:t xml:space="preserve">k, use the “Class Profile” to </w:t>
      </w:r>
      <w:r>
        <w:rPr>
          <w:shd w:val="clear" w:color="auto" w:fill="FFFFFF" w:themeFill="background1"/>
        </w:rPr>
        <w:t>distribute students into the design tiered groupings. Provide rationale to explain movements from previous groupings. Base</w:t>
      </w:r>
      <w:r w:rsidR="00792E1B">
        <w:rPr>
          <w:shd w:val="clear" w:color="auto" w:fill="FFFFFF" w:themeFill="background1"/>
        </w:rPr>
        <w:t>d on the new groupings, create</w:t>
      </w:r>
      <w:r>
        <w:rPr>
          <w:shd w:val="clear" w:color="auto" w:fill="FFFFFF" w:themeFill="background1"/>
        </w:rPr>
        <w:t xml:space="preserve"> three lessons plans with differentiated activities. Your </w:t>
      </w:r>
      <w:r w:rsidR="00D34071">
        <w:rPr>
          <w:shd w:val="clear" w:color="auto" w:fill="FFFFFF" w:themeFill="background1"/>
        </w:rPr>
        <w:t>lesson plans</w:t>
      </w:r>
      <w:r>
        <w:rPr>
          <w:shd w:val="clear" w:color="auto" w:fill="FFFFFF" w:themeFill="background1"/>
        </w:rPr>
        <w:t xml:space="preserve"> should be focused on </w:t>
      </w:r>
      <w:r>
        <w:t>developing word recognition, language comprehension, strategic knowledge, and reading–writing connections.</w:t>
      </w:r>
    </w:p>
    <w:p w14:paraId="20AE0B81" w14:textId="77777777" w:rsidR="0086691F" w:rsidRDefault="0086691F" w:rsidP="00196820">
      <w:pPr>
        <w:spacing w:after="120"/>
      </w:pPr>
      <w:r>
        <w:t>Use the following documents to guide your lesson plan development:</w:t>
      </w:r>
    </w:p>
    <w:p w14:paraId="4FFC065D" w14:textId="286CB513" w:rsidR="0086691F" w:rsidRDefault="0086691F" w:rsidP="00196820">
      <w:pPr>
        <w:numPr>
          <w:ilvl w:val="0"/>
          <w:numId w:val="26"/>
        </w:numPr>
        <w:spacing w:after="120"/>
      </w:pPr>
      <w:r>
        <w:t>Arizona</w:t>
      </w:r>
      <w:r w:rsidR="00C04A70">
        <w:t>’s</w:t>
      </w:r>
      <w:r>
        <w:t xml:space="preserve"> Common Core Standards - English Language Arts and Literacy in History/Social Studies, Science, and Technical Subjects Standards</w:t>
      </w:r>
    </w:p>
    <w:p w14:paraId="47772A9B" w14:textId="1C97C7C2" w:rsidR="0086691F" w:rsidRDefault="0086691F" w:rsidP="00196820">
      <w:pPr>
        <w:numPr>
          <w:ilvl w:val="0"/>
          <w:numId w:val="26"/>
        </w:numPr>
        <w:spacing w:after="120"/>
      </w:pPr>
      <w:r>
        <w:rPr>
          <w:shd w:val="clear" w:color="auto" w:fill="FFFFFF" w:themeFill="background1"/>
        </w:rPr>
        <w:t>Hess</w:t>
      </w:r>
      <w:r w:rsidR="00C04A70">
        <w:rPr>
          <w:shd w:val="clear" w:color="auto" w:fill="FFFFFF" w:themeFill="background1"/>
        </w:rPr>
        <w:t>’</w:t>
      </w:r>
      <w:r>
        <w:rPr>
          <w:shd w:val="clear" w:color="auto" w:fill="FFFFFF" w:themeFill="background1"/>
        </w:rPr>
        <w:t xml:space="preserve"> Cognitive Rigor Matrix. </w:t>
      </w:r>
    </w:p>
    <w:p w14:paraId="3C3F5DEE" w14:textId="5E5E5A9B" w:rsidR="0086691F" w:rsidRDefault="0086691F" w:rsidP="00196820">
      <w:pPr>
        <w:autoSpaceDE w:val="0"/>
        <w:autoSpaceDN w:val="0"/>
        <w:adjustRightInd w:val="0"/>
        <w:spacing w:after="120"/>
      </w:pPr>
      <w:r>
        <w:t>Use the "COE Lesson Plan Template," to prepare the mini-unit.</w:t>
      </w:r>
    </w:p>
    <w:p w14:paraId="66033EC3" w14:textId="6D6B61FB" w:rsidR="0086691F" w:rsidRDefault="0086691F" w:rsidP="00196820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hd w:val="clear" w:color="auto" w:fill="FFFFFF" w:themeFill="background1"/>
        </w:rPr>
        <w:t>In addition, submit a 500-750</w:t>
      </w:r>
      <w:r w:rsidR="00C04A7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word rationale in support of your lesson plans that </w:t>
      </w:r>
      <w:r>
        <w:t xml:space="preserve">demonstrates: </w:t>
      </w:r>
    </w:p>
    <w:p w14:paraId="258BADBC" w14:textId="77777777" w:rsidR="0086691F" w:rsidRDefault="0086691F" w:rsidP="00196820">
      <w:pPr>
        <w:numPr>
          <w:ilvl w:val="0"/>
          <w:numId w:val="27"/>
        </w:numPr>
        <w:autoSpaceDE w:val="0"/>
        <w:autoSpaceDN w:val="0"/>
        <w:adjustRightInd w:val="0"/>
        <w:spacing w:after="120"/>
      </w:pPr>
      <w:r>
        <w:t>Your knowledge of and a critical stance toward a wide variety of quality traditional print, digital, and online resources.</w:t>
      </w:r>
    </w:p>
    <w:p w14:paraId="7A94D88A" w14:textId="77777777" w:rsidR="0086691F" w:rsidRDefault="0086691F" w:rsidP="00196820">
      <w:pPr>
        <w:numPr>
          <w:ilvl w:val="0"/>
          <w:numId w:val="27"/>
        </w:numPr>
        <w:autoSpaceDE w:val="0"/>
        <w:autoSpaceDN w:val="0"/>
        <w:adjustRightInd w:val="0"/>
        <w:spacing w:after="120"/>
      </w:pPr>
      <w:r>
        <w:t>Your understanding of the research and literature that supports the reading and writing curriculum and instruction for all elementary students.</w:t>
      </w:r>
    </w:p>
    <w:p w14:paraId="3B441EC5" w14:textId="77777777" w:rsidR="0086691F" w:rsidRDefault="0086691F" w:rsidP="00196820">
      <w:pPr>
        <w:numPr>
          <w:ilvl w:val="0"/>
          <w:numId w:val="27"/>
        </w:numPr>
        <w:autoSpaceDE w:val="0"/>
        <w:autoSpaceDN w:val="0"/>
        <w:adjustRightInd w:val="0"/>
        <w:spacing w:after="12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The information gathered from your field experience observations and interviews that support the strategies in these lesson plans.</w:t>
      </w:r>
    </w:p>
    <w:p w14:paraId="5B7DE44C" w14:textId="77777777" w:rsidR="005C3AE8" w:rsidRDefault="005C3AE8" w:rsidP="005C3AE8">
      <w:pPr>
        <w:autoSpaceDE w:val="0"/>
        <w:autoSpaceDN w:val="0"/>
        <w:adjustRightInd w:val="0"/>
        <w:spacing w:after="120"/>
      </w:pPr>
      <w:r>
        <w:t>Prepare this assignment according to the guidelines found in the APA Style Guide, located in the Student Success Center. An abstract is not required.</w:t>
      </w:r>
    </w:p>
    <w:p w14:paraId="07AC25D5" w14:textId="77777777" w:rsidR="005C3AE8" w:rsidRDefault="005C3AE8" w:rsidP="005C3AE8">
      <w:pPr>
        <w:pStyle w:val="NormalWeb"/>
        <w:spacing w:after="120"/>
      </w:pPr>
      <w:r w:rsidRPr="003A7CB5">
        <w:t>Support your response with 2-3 scholarly sources.</w:t>
      </w:r>
    </w:p>
    <w:p w14:paraId="72341745" w14:textId="77777777" w:rsidR="005C3AE8" w:rsidRDefault="005C3AE8" w:rsidP="005C3AE8">
      <w:pPr>
        <w:autoSpaceDE w:val="0"/>
        <w:autoSpaceDN w:val="0"/>
        <w:adjustRightInd w:val="0"/>
        <w:spacing w:after="120"/>
      </w:pPr>
      <w:r>
        <w:t>This assignment uses a rubric. Review the rubric prior to beginning the assignment to become familiar with the expectations for successful completion.</w:t>
      </w:r>
    </w:p>
    <w:p w14:paraId="536DA96D" w14:textId="77777777" w:rsidR="005C3AE8" w:rsidRDefault="005C3AE8" w:rsidP="005C3AE8">
      <w:pPr>
        <w:autoSpaceDE w:val="0"/>
        <w:autoSpaceDN w:val="0"/>
        <w:adjustRightInd w:val="0"/>
        <w:spacing w:after="120"/>
      </w:pPr>
      <w:r>
        <w:t xml:space="preserve">You are required to submit this assignment to Turnitin. </w:t>
      </w:r>
    </w:p>
    <w:p w14:paraId="1FA2FF3F" w14:textId="33F628F8" w:rsidR="003D47F9" w:rsidRPr="002C6086" w:rsidRDefault="003D47F9" w:rsidP="009F403E">
      <w:pPr>
        <w:pStyle w:val="Heading2"/>
        <w:rPr>
          <w:rFonts w:ascii="Times New Roman" w:hAnsi="Times New Roman"/>
        </w:rPr>
      </w:pPr>
      <w:bookmarkStart w:id="0" w:name="_GoBack"/>
      <w:bookmarkEnd w:id="0"/>
      <w:r w:rsidRPr="002C6086">
        <w:rPr>
          <w:rFonts w:ascii="Times New Roman" w:hAnsi="Times New Roman"/>
        </w:rPr>
        <w:t>Standards</w:t>
      </w:r>
      <w:r w:rsidR="008C5807" w:rsidRPr="002C6086">
        <w:rPr>
          <w:rFonts w:ascii="Times New Roman" w:hAnsi="Times New Roman"/>
        </w:rPr>
        <w:t>/Competencies</w:t>
      </w:r>
      <w:r w:rsidRPr="002C6086">
        <w:rPr>
          <w:rFonts w:ascii="Times New Roman" w:hAnsi="Times New Roman"/>
        </w:rPr>
        <w:t xml:space="preserve"> Assessed:</w:t>
      </w:r>
    </w:p>
    <w:p w14:paraId="4B26D047" w14:textId="6589D45C" w:rsidR="003D47F9" w:rsidRPr="005C5550" w:rsidRDefault="003D47F9" w:rsidP="009F403E">
      <w:pPr>
        <w:spacing w:before="120" w:after="120"/>
      </w:pPr>
      <w:r w:rsidRPr="005C5550">
        <w:t xml:space="preserve">Standards </w:t>
      </w:r>
      <w:r w:rsidR="008C5807" w:rsidRPr="005C5550">
        <w:t xml:space="preserve">and program competencies </w:t>
      </w:r>
      <w:r w:rsidRPr="005C5550">
        <w:t>assessed in the benchmark ass</w:t>
      </w:r>
      <w:r w:rsidR="00C718D3" w:rsidRPr="005C5550">
        <w:t>ign</w:t>
      </w:r>
      <w:r w:rsidRPr="005C5550">
        <w:t>ment:</w:t>
      </w:r>
    </w:p>
    <w:p w14:paraId="2C6D2C91" w14:textId="3C996E0A" w:rsidR="00E208C2" w:rsidRDefault="00227788" w:rsidP="009F403E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2C6086">
        <w:rPr>
          <w:rFonts w:ascii="Times New Roman" w:hAnsi="Times New Roman"/>
        </w:rPr>
        <w:t>I</w:t>
      </w:r>
      <w:r w:rsidR="005C3AE8">
        <w:rPr>
          <w:rFonts w:ascii="Times New Roman" w:hAnsi="Times New Roman"/>
        </w:rPr>
        <w:t>L</w:t>
      </w:r>
      <w:r w:rsidR="005C5550">
        <w:rPr>
          <w:rFonts w:ascii="Times New Roman" w:hAnsi="Times New Roman"/>
        </w:rPr>
        <w:t>A</w:t>
      </w:r>
      <w:r w:rsidRPr="002C6086">
        <w:rPr>
          <w:rFonts w:ascii="Times New Roman" w:hAnsi="Times New Roman"/>
        </w:rPr>
        <w:t>:</w:t>
      </w:r>
      <w:r w:rsidR="005C5550">
        <w:rPr>
          <w:rFonts w:ascii="Times New Roman" w:hAnsi="Times New Roman"/>
        </w:rPr>
        <w:t xml:space="preserve"> </w:t>
      </w:r>
      <w:r w:rsidR="00A766C0">
        <w:rPr>
          <w:rFonts w:ascii="Times New Roman" w:hAnsi="Times New Roman"/>
        </w:rPr>
        <w:tab/>
      </w:r>
      <w:r w:rsidR="00A766C0">
        <w:rPr>
          <w:rFonts w:ascii="Times New Roman" w:hAnsi="Times New Roman"/>
        </w:rPr>
        <w:tab/>
      </w:r>
      <w:r w:rsidR="005C5550">
        <w:rPr>
          <w:rFonts w:ascii="Times New Roman" w:hAnsi="Times New Roman"/>
        </w:rPr>
        <w:t>2.1, 2.2, 2.3</w:t>
      </w:r>
      <w:r w:rsidRPr="002C6086">
        <w:rPr>
          <w:rFonts w:ascii="Times New Roman" w:hAnsi="Times New Roman"/>
        </w:rPr>
        <w:t xml:space="preserve"> </w:t>
      </w:r>
      <w:r w:rsidR="00F802F4" w:rsidRPr="002C6086">
        <w:rPr>
          <w:rFonts w:ascii="Times New Roman" w:hAnsi="Times New Roman"/>
        </w:rPr>
        <w:tab/>
      </w:r>
    </w:p>
    <w:p w14:paraId="30879559" w14:textId="091036B4" w:rsidR="00B8474E" w:rsidRPr="002C6086" w:rsidRDefault="00B8474E" w:rsidP="00A766C0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InTASC: </w:t>
      </w:r>
      <w:r w:rsidR="00A766C0">
        <w:rPr>
          <w:rFonts w:ascii="Times New Roman" w:hAnsi="Times New Roman"/>
        </w:rPr>
        <w:tab/>
      </w:r>
      <w:r w:rsidR="00A766C0" w:rsidRPr="00A766C0">
        <w:rPr>
          <w:rFonts w:ascii="Times New Roman" w:hAnsi="Times New Roman"/>
        </w:rPr>
        <w:t>7k, 8a</w:t>
      </w:r>
      <w:r w:rsidR="00A766C0">
        <w:rPr>
          <w:rFonts w:ascii="Times New Roman" w:hAnsi="Times New Roman"/>
        </w:rPr>
        <w:t xml:space="preserve">, </w:t>
      </w:r>
      <w:r w:rsidR="00A766C0" w:rsidRPr="00A766C0">
        <w:rPr>
          <w:rFonts w:ascii="Times New Roman" w:hAnsi="Times New Roman"/>
        </w:rPr>
        <w:t>2g, 8s</w:t>
      </w:r>
      <w:r w:rsidR="00A766C0">
        <w:rPr>
          <w:rFonts w:ascii="Times New Roman" w:hAnsi="Times New Roman"/>
        </w:rPr>
        <w:t xml:space="preserve">, </w:t>
      </w:r>
      <w:r w:rsidR="00A766C0" w:rsidRPr="00A766C0">
        <w:rPr>
          <w:rFonts w:ascii="Times New Roman" w:hAnsi="Times New Roman"/>
        </w:rPr>
        <w:t>4f</w:t>
      </w:r>
    </w:p>
    <w:p w14:paraId="07165DC3" w14:textId="77777777" w:rsidR="002D38B2" w:rsidRPr="002C6086" w:rsidRDefault="00227788" w:rsidP="002D38B2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</w:rPr>
      </w:pPr>
      <w:r w:rsidRPr="002C6086">
        <w:rPr>
          <w:rFonts w:ascii="Times New Roman" w:hAnsi="Times New Roman"/>
        </w:rPr>
        <w:t xml:space="preserve">COE Program Competencies: </w:t>
      </w:r>
    </w:p>
    <w:p w14:paraId="7C215D24" w14:textId="2E835C45" w:rsidR="00A766C0" w:rsidRPr="00D33B83" w:rsidRDefault="00A766C0" w:rsidP="00196820">
      <w:pPr>
        <w:spacing w:after="120"/>
        <w:ind w:left="1440" w:hanging="720"/>
        <w:rPr>
          <w:sz w:val="22"/>
        </w:rPr>
      </w:pPr>
      <w:r w:rsidRPr="00511C7B">
        <w:rPr>
          <w:b/>
          <w:sz w:val="22"/>
        </w:rPr>
        <w:t>2.1</w:t>
      </w:r>
      <w:r w:rsidR="00D33B83" w:rsidRPr="00511C7B">
        <w:rPr>
          <w:b/>
          <w:sz w:val="22"/>
        </w:rPr>
        <w:t>:</w:t>
      </w:r>
      <w:r w:rsidRPr="00D33B83">
        <w:rPr>
          <w:sz w:val="22"/>
        </w:rPr>
        <w:tab/>
        <w:t xml:space="preserve">Candidates use foundational knowledge and research-based pedagogical and instructional practices to design and implement an integrated, comprehensive, and balanced curriculum. </w:t>
      </w:r>
      <w:r w:rsidRPr="00D33B83">
        <w:rPr>
          <w:b/>
          <w:sz w:val="22"/>
        </w:rPr>
        <w:t>(IRA 2.1; InTASC 7k, 8a)</w:t>
      </w:r>
    </w:p>
    <w:p w14:paraId="26FF2DAF" w14:textId="789A0347" w:rsidR="00A766C0" w:rsidRPr="00D33B83" w:rsidRDefault="00A766C0" w:rsidP="00196820">
      <w:pPr>
        <w:spacing w:after="120"/>
        <w:ind w:left="1440" w:hanging="720"/>
        <w:rPr>
          <w:sz w:val="22"/>
        </w:rPr>
      </w:pPr>
      <w:r w:rsidRPr="00511C7B">
        <w:rPr>
          <w:b/>
          <w:sz w:val="22"/>
        </w:rPr>
        <w:lastRenderedPageBreak/>
        <w:t>2.2</w:t>
      </w:r>
      <w:r w:rsidR="00D33B83" w:rsidRPr="00511C7B">
        <w:rPr>
          <w:b/>
          <w:sz w:val="22"/>
        </w:rPr>
        <w:t>:</w:t>
      </w:r>
      <w:r w:rsidRPr="00D33B83">
        <w:rPr>
          <w:sz w:val="22"/>
        </w:rPr>
        <w:tab/>
        <w:t>Candidates use appropriate and varied instructional approaches, including those that develop word recognition, language comprehension, strategic knowledge, and reading</w:t>
      </w:r>
      <w:r w:rsidR="00C04A70">
        <w:rPr>
          <w:sz w:val="22"/>
        </w:rPr>
        <w:t>-</w:t>
      </w:r>
      <w:r w:rsidRPr="00D33B83">
        <w:rPr>
          <w:sz w:val="22"/>
        </w:rPr>
        <w:t xml:space="preserve">writing connections. </w:t>
      </w:r>
      <w:r w:rsidRPr="00D33B83">
        <w:rPr>
          <w:b/>
          <w:sz w:val="22"/>
        </w:rPr>
        <w:t>(IRA 2.2; InTASC 2g, 8s)</w:t>
      </w:r>
    </w:p>
    <w:p w14:paraId="6CC0CF08" w14:textId="01E4C4D2" w:rsidR="00A766C0" w:rsidRPr="00D33B83" w:rsidRDefault="00A766C0" w:rsidP="00196820">
      <w:pPr>
        <w:spacing w:after="120"/>
        <w:ind w:left="1440" w:hanging="720"/>
        <w:rPr>
          <w:sz w:val="22"/>
        </w:rPr>
      </w:pPr>
      <w:r w:rsidRPr="00511C7B">
        <w:rPr>
          <w:b/>
          <w:sz w:val="22"/>
        </w:rPr>
        <w:t>2.3</w:t>
      </w:r>
      <w:r w:rsidR="00D33B83" w:rsidRPr="00511C7B">
        <w:rPr>
          <w:b/>
          <w:sz w:val="22"/>
        </w:rPr>
        <w:t>:</w:t>
      </w:r>
      <w:r w:rsidRPr="00D33B83">
        <w:rPr>
          <w:sz w:val="22"/>
        </w:rPr>
        <w:tab/>
        <w:t xml:space="preserve">Candidates evaluate and select a wide range of texts (e.g., narrative, expository, and poetry) from traditional print, digital, and online resources based on purpose, settings, and learner needs. </w:t>
      </w:r>
      <w:r w:rsidRPr="00D33B83">
        <w:rPr>
          <w:b/>
          <w:sz w:val="22"/>
        </w:rPr>
        <w:t>(IRA 2.3; InTASC 4f)</w:t>
      </w:r>
    </w:p>
    <w:p w14:paraId="4FD0108C" w14:textId="734304FF" w:rsidR="003D47F9" w:rsidRPr="00BE7AA2" w:rsidRDefault="003D47F9" w:rsidP="009F403E">
      <w:pPr>
        <w:pStyle w:val="Heading2"/>
      </w:pPr>
      <w:r w:rsidRPr="00BE7AA2">
        <w:t>Scoring Rubric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"/>
        <w:gridCol w:w="630"/>
        <w:gridCol w:w="1440"/>
        <w:gridCol w:w="1710"/>
        <w:gridCol w:w="1890"/>
        <w:gridCol w:w="1800"/>
        <w:gridCol w:w="1800"/>
      </w:tblGrid>
      <w:tr w:rsidR="00256E0A" w:rsidRPr="00256E0A" w14:paraId="08E46944" w14:textId="77777777" w:rsidTr="00196820">
        <w:trPr>
          <w:trHeight w:val="61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14:paraId="1C4611C1" w14:textId="77777777" w:rsidR="00256E0A" w:rsidRPr="00256E0A" w:rsidRDefault="00256E0A" w:rsidP="00256E0A">
            <w:pPr>
              <w:jc w:val="center"/>
              <w:rPr>
                <w:b/>
              </w:rPr>
            </w:pPr>
            <w:r w:rsidRPr="00256E0A">
              <w:rPr>
                <w:b/>
              </w:rPr>
              <w:t>Criteria</w:t>
            </w:r>
          </w:p>
        </w:tc>
        <w:tc>
          <w:tcPr>
            <w:tcW w:w="900" w:type="dxa"/>
            <w:gridSpan w:val="2"/>
            <w:shd w:val="clear" w:color="auto" w:fill="E5DFEC" w:themeFill="accent4" w:themeFillTint="33"/>
            <w:vAlign w:val="center"/>
          </w:tcPr>
          <w:p w14:paraId="4723C7DE" w14:textId="77777777" w:rsidR="00256E0A" w:rsidRPr="00256E0A" w:rsidRDefault="00256E0A" w:rsidP="00256E0A">
            <w:pPr>
              <w:jc w:val="center"/>
              <w:rPr>
                <w:b/>
              </w:rPr>
            </w:pPr>
            <w:r w:rsidRPr="00256E0A">
              <w:rPr>
                <w:b/>
              </w:rPr>
              <w:t>% Value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14:paraId="42B776AD" w14:textId="4AF0031F" w:rsidR="00256E0A" w:rsidRPr="00256E0A" w:rsidRDefault="00256E0A" w:rsidP="00D47FE1">
            <w:pPr>
              <w:jc w:val="center"/>
              <w:rPr>
                <w:b/>
              </w:rPr>
            </w:pPr>
            <w:r w:rsidRPr="00256E0A">
              <w:rPr>
                <w:b/>
              </w:rPr>
              <w:t xml:space="preserve">No </w:t>
            </w:r>
            <w:r w:rsidR="00D47FE1">
              <w:rPr>
                <w:b/>
              </w:rPr>
              <w:t>Submission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13509B53" w14:textId="74B48A42" w:rsidR="00256E0A" w:rsidRPr="00256E0A" w:rsidRDefault="00D47FE1" w:rsidP="00256E0A">
            <w:pPr>
              <w:jc w:val="center"/>
              <w:rPr>
                <w:b/>
              </w:rPr>
            </w:pPr>
            <w:r>
              <w:rPr>
                <w:b/>
              </w:rPr>
              <w:t>Insufficient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166375C7" w14:textId="4D29098D" w:rsidR="00256E0A" w:rsidRPr="00256E0A" w:rsidRDefault="00D47FE1" w:rsidP="00256E0A">
            <w:pPr>
              <w:jc w:val="center"/>
              <w:rPr>
                <w:b/>
              </w:rPr>
            </w:pPr>
            <w:r>
              <w:rPr>
                <w:b/>
              </w:rPr>
              <w:t>Approaching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00AA16BC" w14:textId="3A603E90" w:rsidR="00256E0A" w:rsidRPr="00256E0A" w:rsidRDefault="00256E0A" w:rsidP="00D47FE1">
            <w:pPr>
              <w:jc w:val="center"/>
              <w:rPr>
                <w:b/>
              </w:rPr>
            </w:pPr>
            <w:r w:rsidRPr="00256E0A">
              <w:rPr>
                <w:b/>
              </w:rPr>
              <w:t xml:space="preserve">Acceptable 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1836C9B2" w14:textId="194CFA13" w:rsidR="00256E0A" w:rsidRPr="00256E0A" w:rsidRDefault="00256E0A" w:rsidP="00D47FE1">
            <w:pPr>
              <w:jc w:val="center"/>
              <w:rPr>
                <w:b/>
              </w:rPr>
            </w:pPr>
            <w:r w:rsidRPr="00256E0A">
              <w:rPr>
                <w:b/>
              </w:rPr>
              <w:t xml:space="preserve">Target </w:t>
            </w:r>
          </w:p>
        </w:tc>
      </w:tr>
      <w:tr w:rsidR="00256E0A" w:rsidRPr="00256E0A" w14:paraId="6297702B" w14:textId="77777777" w:rsidTr="00196820">
        <w:trPr>
          <w:trHeight w:val="61"/>
        </w:trPr>
        <w:tc>
          <w:tcPr>
            <w:tcW w:w="1260" w:type="dxa"/>
            <w:shd w:val="clear" w:color="auto" w:fill="E5DFEC" w:themeFill="accent4" w:themeFillTint="33"/>
            <w:vAlign w:val="center"/>
          </w:tcPr>
          <w:p w14:paraId="3DA70C24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% Scaling</w:t>
            </w:r>
          </w:p>
        </w:tc>
        <w:tc>
          <w:tcPr>
            <w:tcW w:w="900" w:type="dxa"/>
            <w:gridSpan w:val="2"/>
            <w:shd w:val="clear" w:color="auto" w:fill="E5DFEC" w:themeFill="accent4" w:themeFillTint="33"/>
            <w:vAlign w:val="center"/>
          </w:tcPr>
          <w:p w14:paraId="4C898646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14:paraId="52F10EB5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710" w:type="dxa"/>
            <w:shd w:val="clear" w:color="auto" w:fill="E5DFEC" w:themeFill="accent4" w:themeFillTint="33"/>
            <w:vAlign w:val="center"/>
          </w:tcPr>
          <w:p w14:paraId="04CE2972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69%</w:t>
            </w:r>
          </w:p>
        </w:tc>
        <w:tc>
          <w:tcPr>
            <w:tcW w:w="1890" w:type="dxa"/>
            <w:shd w:val="clear" w:color="auto" w:fill="E5DFEC" w:themeFill="accent4" w:themeFillTint="33"/>
            <w:vAlign w:val="center"/>
          </w:tcPr>
          <w:p w14:paraId="7418BF45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74%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746EB77E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87%</w:t>
            </w:r>
          </w:p>
        </w:tc>
        <w:tc>
          <w:tcPr>
            <w:tcW w:w="1800" w:type="dxa"/>
            <w:shd w:val="clear" w:color="auto" w:fill="E5DFEC" w:themeFill="accent4" w:themeFillTint="33"/>
            <w:vAlign w:val="center"/>
          </w:tcPr>
          <w:p w14:paraId="56825F86" w14:textId="77777777" w:rsidR="00256E0A" w:rsidRPr="00256E0A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56E0A">
              <w:rPr>
                <w:b/>
                <w:sz w:val="20"/>
                <w:szCs w:val="20"/>
              </w:rPr>
              <w:t>100%</w:t>
            </w:r>
          </w:p>
        </w:tc>
      </w:tr>
      <w:tr w:rsidR="00256E0A" w:rsidRPr="00256E0A" w14:paraId="17D36D45" w14:textId="77777777" w:rsidTr="00196820">
        <w:trPr>
          <w:trHeight w:val="422"/>
        </w:trPr>
        <w:tc>
          <w:tcPr>
            <w:tcW w:w="10800" w:type="dxa"/>
            <w:gridSpan w:val="8"/>
          </w:tcPr>
          <w:p w14:paraId="66B70F50" w14:textId="77BEE409" w:rsidR="00256E0A" w:rsidRPr="00256E0A" w:rsidRDefault="00256E0A" w:rsidP="00256E0A">
            <w:pPr>
              <w:jc w:val="center"/>
              <w:rPr>
                <w:b/>
                <w:sz w:val="32"/>
                <w:szCs w:val="32"/>
              </w:rPr>
            </w:pPr>
            <w:r w:rsidRPr="00256E0A">
              <w:rPr>
                <w:b/>
                <w:sz w:val="32"/>
                <w:szCs w:val="32"/>
              </w:rPr>
              <w:t xml:space="preserve">Content – </w:t>
            </w:r>
            <w:r w:rsidR="00C777F2">
              <w:rPr>
                <w:b/>
                <w:sz w:val="32"/>
                <w:szCs w:val="32"/>
              </w:rPr>
              <w:t>7</w:t>
            </w:r>
            <w:r w:rsidRPr="00256E0A">
              <w:rPr>
                <w:b/>
                <w:sz w:val="32"/>
                <w:szCs w:val="32"/>
              </w:rPr>
              <w:t>0%</w:t>
            </w:r>
          </w:p>
        </w:tc>
      </w:tr>
      <w:tr w:rsidR="00256E0A" w:rsidRPr="00256E0A" w14:paraId="59A4FEE6" w14:textId="77777777" w:rsidTr="00196820">
        <w:trPr>
          <w:trHeight w:val="61"/>
        </w:trPr>
        <w:tc>
          <w:tcPr>
            <w:tcW w:w="1530" w:type="dxa"/>
            <w:gridSpan w:val="2"/>
          </w:tcPr>
          <w:p w14:paraId="2513B78D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1D4918">
              <w:rPr>
                <w:b/>
                <w:sz w:val="20"/>
                <w:szCs w:val="20"/>
              </w:rPr>
              <w:t>LESSON PLANNING:</w:t>
            </w:r>
            <w:r w:rsidRPr="001D4918">
              <w:rPr>
                <w:b/>
                <w:sz w:val="20"/>
                <w:szCs w:val="20"/>
              </w:rPr>
              <w:br/>
            </w:r>
            <w:r w:rsidRPr="001D4918">
              <w:rPr>
                <w:sz w:val="20"/>
                <w:szCs w:val="20"/>
              </w:rPr>
              <w:t>Development</w:t>
            </w:r>
          </w:p>
          <w:p w14:paraId="00755AA4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  <w:p w14:paraId="312304D2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  <w:shd w:val="pct15" w:color="auto" w:fill="auto"/>
              </w:rPr>
            </w:pPr>
          </w:p>
          <w:p w14:paraId="7658CB1F" w14:textId="3EA008FD" w:rsidR="00256E0A" w:rsidRDefault="002011D4" w:rsidP="00256E0A">
            <w:pPr>
              <w:rPr>
                <w:b/>
                <w:sz w:val="20"/>
                <w:szCs w:val="20"/>
              </w:rPr>
            </w:pPr>
            <w:r w:rsidRPr="002011D4">
              <w:rPr>
                <w:b/>
                <w:sz w:val="20"/>
                <w:szCs w:val="20"/>
              </w:rPr>
              <w:t>I</w:t>
            </w:r>
            <w:r w:rsidR="00EE4255">
              <w:rPr>
                <w:b/>
                <w:sz w:val="20"/>
                <w:szCs w:val="20"/>
              </w:rPr>
              <w:t>L</w:t>
            </w:r>
            <w:r w:rsidRPr="002011D4">
              <w:rPr>
                <w:b/>
                <w:sz w:val="20"/>
                <w:szCs w:val="20"/>
              </w:rPr>
              <w:t>A 2.2; InTASC 2g, 8s</w:t>
            </w:r>
          </w:p>
          <w:p w14:paraId="277CAB75" w14:textId="45323768" w:rsidR="009D3787" w:rsidRPr="001D4918" w:rsidRDefault="009D3787" w:rsidP="00256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 2.2</w:t>
            </w:r>
          </w:p>
        </w:tc>
        <w:tc>
          <w:tcPr>
            <w:tcW w:w="630" w:type="dxa"/>
          </w:tcPr>
          <w:p w14:paraId="74CA6B33" w14:textId="553E37C5" w:rsidR="00256E0A" w:rsidRPr="001D4918" w:rsidRDefault="00256E0A" w:rsidP="00256E0A">
            <w:pPr>
              <w:rPr>
                <w:b/>
                <w:sz w:val="20"/>
                <w:szCs w:val="20"/>
              </w:rPr>
            </w:pPr>
            <w:r w:rsidRPr="001D4918">
              <w:rPr>
                <w:b/>
                <w:sz w:val="20"/>
                <w:szCs w:val="20"/>
              </w:rPr>
              <w:t>2</w:t>
            </w:r>
            <w:r w:rsidR="00D438EE">
              <w:rPr>
                <w:b/>
                <w:sz w:val="20"/>
                <w:szCs w:val="20"/>
              </w:rPr>
              <w:t>5</w:t>
            </w:r>
            <w:r w:rsidRPr="001D49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147F74DC" w14:textId="77777777" w:rsidR="00256E0A" w:rsidRPr="001D4918" w:rsidRDefault="00256E0A" w:rsidP="00256E0A">
            <w:pPr>
              <w:rPr>
                <w:sz w:val="20"/>
                <w:szCs w:val="20"/>
              </w:rPr>
            </w:pPr>
            <w:r w:rsidRPr="001D4918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</w:tcPr>
          <w:p w14:paraId="78B2D83C" w14:textId="7754B7DB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56E0A" w:rsidRPr="001D4918">
              <w:rPr>
                <w:sz w:val="20"/>
                <w:szCs w:val="20"/>
              </w:rPr>
              <w:t>ails to design lesson plans that focus on developing word recognition, language comprehension, strategic knowledge, and reading</w:t>
            </w:r>
            <w:r>
              <w:rPr>
                <w:sz w:val="20"/>
                <w:szCs w:val="20"/>
              </w:rPr>
              <w:t>-</w:t>
            </w:r>
            <w:r w:rsidR="00256E0A" w:rsidRPr="001D4918">
              <w:rPr>
                <w:sz w:val="20"/>
                <w:szCs w:val="20"/>
              </w:rPr>
              <w:t>writing connections to meet the language-proficiency needs of English learners and students who struggle to learn to read and write.</w:t>
            </w:r>
          </w:p>
        </w:tc>
        <w:tc>
          <w:tcPr>
            <w:tcW w:w="1890" w:type="dxa"/>
          </w:tcPr>
          <w:p w14:paraId="001E7E78" w14:textId="0A65C9C4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56E0A" w:rsidRPr="001D4918">
              <w:rPr>
                <w:sz w:val="20"/>
                <w:szCs w:val="20"/>
              </w:rPr>
              <w:t>nable to design lesson plans that focus on developing word recognition, language comprehension, strategic knowledge, and reading</w:t>
            </w:r>
            <w:r>
              <w:rPr>
                <w:sz w:val="20"/>
                <w:szCs w:val="20"/>
              </w:rPr>
              <w:t>-</w:t>
            </w:r>
            <w:r w:rsidR="00256E0A" w:rsidRPr="001D4918">
              <w:rPr>
                <w:sz w:val="20"/>
                <w:szCs w:val="20"/>
              </w:rPr>
              <w:t>writing connections to meet the language-proficiency needs of English learners and/or students who struggle to learn to read and write.</w:t>
            </w:r>
          </w:p>
        </w:tc>
        <w:tc>
          <w:tcPr>
            <w:tcW w:w="1800" w:type="dxa"/>
          </w:tcPr>
          <w:p w14:paraId="2CE6810F" w14:textId="00A74627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6E0A" w:rsidRPr="001D4918">
              <w:rPr>
                <w:sz w:val="20"/>
                <w:szCs w:val="20"/>
              </w:rPr>
              <w:t>esigns lesson plans that focus on developing word recognition, language comprehension, strategic knowledge, and reading</w:t>
            </w:r>
            <w:r>
              <w:rPr>
                <w:sz w:val="20"/>
                <w:szCs w:val="20"/>
              </w:rPr>
              <w:t>-</w:t>
            </w:r>
            <w:r w:rsidR="00256E0A" w:rsidRPr="001D4918">
              <w:rPr>
                <w:sz w:val="20"/>
                <w:szCs w:val="20"/>
              </w:rPr>
              <w:t>writing connections to meet the language-proficiency needs of English learners and students who struggle to learn to read and write.</w:t>
            </w:r>
          </w:p>
        </w:tc>
        <w:tc>
          <w:tcPr>
            <w:tcW w:w="1800" w:type="dxa"/>
          </w:tcPr>
          <w:p w14:paraId="21F1F086" w14:textId="4B168593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56E0A" w:rsidRPr="001D4918">
              <w:rPr>
                <w:sz w:val="20"/>
                <w:szCs w:val="20"/>
              </w:rPr>
              <w:t>ighly skilled and adept at designing lessons plans that focus on developing word recognition, language comprehension, strategic knowledge, and reading</w:t>
            </w:r>
            <w:r>
              <w:rPr>
                <w:sz w:val="20"/>
                <w:szCs w:val="20"/>
              </w:rPr>
              <w:t>-</w:t>
            </w:r>
            <w:r w:rsidR="00256E0A" w:rsidRPr="001D4918">
              <w:rPr>
                <w:sz w:val="20"/>
                <w:szCs w:val="20"/>
              </w:rPr>
              <w:t>writing connections to meet the language-proficiency needs of English learners and students who struggle to learn to read and write.</w:t>
            </w:r>
          </w:p>
        </w:tc>
      </w:tr>
      <w:tr w:rsidR="00256E0A" w:rsidRPr="00256E0A" w14:paraId="13145F1F" w14:textId="77777777" w:rsidTr="00196820">
        <w:trPr>
          <w:trHeight w:val="61"/>
        </w:trPr>
        <w:tc>
          <w:tcPr>
            <w:tcW w:w="1530" w:type="dxa"/>
            <w:gridSpan w:val="2"/>
          </w:tcPr>
          <w:p w14:paraId="29D39C91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1D4918">
              <w:rPr>
                <w:b/>
                <w:sz w:val="20"/>
                <w:szCs w:val="20"/>
              </w:rPr>
              <w:t>LESSON PLANNING RATIONALE:</w:t>
            </w:r>
            <w:r w:rsidRPr="001D4918">
              <w:rPr>
                <w:b/>
                <w:sz w:val="20"/>
                <w:szCs w:val="20"/>
              </w:rPr>
              <w:br/>
            </w:r>
            <w:r w:rsidRPr="001D4918">
              <w:rPr>
                <w:sz w:val="20"/>
                <w:szCs w:val="20"/>
              </w:rPr>
              <w:t>Resources</w:t>
            </w:r>
          </w:p>
          <w:p w14:paraId="362A2671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  <w:p w14:paraId="0A1186A2" w14:textId="77777777" w:rsidR="00256E0A" w:rsidRPr="001D4918" w:rsidRDefault="00256E0A" w:rsidP="00256E0A">
            <w:pPr>
              <w:spacing w:after="120" w:line="276" w:lineRule="auto"/>
              <w:rPr>
                <w:b/>
                <w:sz w:val="20"/>
                <w:szCs w:val="20"/>
                <w:shd w:val="pct15" w:color="auto" w:fill="auto"/>
              </w:rPr>
            </w:pPr>
          </w:p>
          <w:p w14:paraId="32845D95" w14:textId="25B25C83" w:rsidR="009D3787" w:rsidRDefault="00EE4255" w:rsidP="00256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</w:t>
            </w:r>
            <w:r w:rsidR="002011D4" w:rsidRPr="002011D4">
              <w:rPr>
                <w:b/>
                <w:sz w:val="20"/>
                <w:szCs w:val="20"/>
              </w:rPr>
              <w:t>A 2.3; InTASC 4f</w:t>
            </w:r>
          </w:p>
          <w:p w14:paraId="4876979E" w14:textId="7E6FDAAD" w:rsidR="00256E0A" w:rsidRPr="001D4918" w:rsidRDefault="009D3787" w:rsidP="00256E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 2.3</w:t>
            </w:r>
            <w:r w:rsidR="002011D4" w:rsidRPr="002011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8A3520F" w14:textId="728A2C73" w:rsidR="00256E0A" w:rsidRPr="001D4918" w:rsidRDefault="00256E0A" w:rsidP="00256E0A">
            <w:pPr>
              <w:rPr>
                <w:b/>
                <w:sz w:val="20"/>
                <w:szCs w:val="20"/>
              </w:rPr>
            </w:pPr>
            <w:r w:rsidRPr="001D4918">
              <w:rPr>
                <w:b/>
                <w:sz w:val="20"/>
                <w:szCs w:val="20"/>
              </w:rPr>
              <w:t>2</w:t>
            </w:r>
            <w:r w:rsidR="00D438EE">
              <w:rPr>
                <w:b/>
                <w:sz w:val="20"/>
                <w:szCs w:val="20"/>
              </w:rPr>
              <w:t>5</w:t>
            </w:r>
            <w:r w:rsidRPr="001D491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7C8FABC3" w14:textId="77777777" w:rsidR="00256E0A" w:rsidRPr="001D4918" w:rsidRDefault="00256E0A" w:rsidP="00256E0A">
            <w:pPr>
              <w:rPr>
                <w:sz w:val="20"/>
                <w:szCs w:val="20"/>
              </w:rPr>
            </w:pPr>
            <w:r w:rsidRPr="001D4918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</w:tcPr>
          <w:p w14:paraId="2EBD5F63" w14:textId="3A0F37F0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56E0A" w:rsidRPr="001D4918">
              <w:rPr>
                <w:sz w:val="20"/>
                <w:szCs w:val="20"/>
              </w:rPr>
              <w:t>ails to design lesson plans that demonstrate knowledge of and/or a critical stance toward a wide variety of quality traditional print, and/or digital, and/or online resources.</w:t>
            </w:r>
          </w:p>
        </w:tc>
        <w:tc>
          <w:tcPr>
            <w:tcW w:w="1890" w:type="dxa"/>
          </w:tcPr>
          <w:p w14:paraId="32012312" w14:textId="237B764C" w:rsidR="00256E0A" w:rsidRPr="001D4918" w:rsidRDefault="00D47FE1" w:rsidP="00D47FE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6E0A" w:rsidRPr="001D4918">
              <w:rPr>
                <w:sz w:val="20"/>
                <w:szCs w:val="20"/>
              </w:rPr>
              <w:t>esign</w:t>
            </w:r>
            <w:r>
              <w:rPr>
                <w:sz w:val="20"/>
                <w:szCs w:val="20"/>
              </w:rPr>
              <w:t>s</w:t>
            </w:r>
            <w:r w:rsidR="00256E0A" w:rsidRPr="001D4918">
              <w:rPr>
                <w:sz w:val="20"/>
                <w:szCs w:val="20"/>
              </w:rPr>
              <w:t xml:space="preserve"> lesson plans</w:t>
            </w:r>
            <w:r w:rsidR="003E7C9A">
              <w:rPr>
                <w:sz w:val="20"/>
                <w:szCs w:val="20"/>
              </w:rPr>
              <w:t xml:space="preserve"> that are passable and</w:t>
            </w:r>
            <w:r w:rsidR="00256E0A" w:rsidRPr="001D4918">
              <w:rPr>
                <w:sz w:val="20"/>
                <w:szCs w:val="20"/>
              </w:rPr>
              <w:t xml:space="preserve"> that demonstrate knowledge of and/or a critical stance toward a wide variety of quality traditional print, and/or digital, and/or online resources.</w:t>
            </w:r>
          </w:p>
        </w:tc>
        <w:tc>
          <w:tcPr>
            <w:tcW w:w="1800" w:type="dxa"/>
          </w:tcPr>
          <w:p w14:paraId="70AB35AA" w14:textId="17194730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6E0A" w:rsidRPr="001D4918">
              <w:rPr>
                <w:sz w:val="20"/>
                <w:szCs w:val="20"/>
              </w:rPr>
              <w:t>esigns lesson plans that demonstrate knowledge of and a critical stance toward a wide variety of quality traditional print, digital, and online resources.</w:t>
            </w:r>
          </w:p>
        </w:tc>
        <w:tc>
          <w:tcPr>
            <w:tcW w:w="1800" w:type="dxa"/>
          </w:tcPr>
          <w:p w14:paraId="7336A993" w14:textId="3FCCAC3E" w:rsidR="00256E0A" w:rsidRPr="001D4918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56E0A" w:rsidRPr="001D4918">
              <w:rPr>
                <w:sz w:val="20"/>
                <w:szCs w:val="20"/>
              </w:rPr>
              <w:t>ighly skilled and adept at designing lesson plans that demonstrate knowledge of and a critical stance toward a wide variety of quality traditional print, digital, and online resources.</w:t>
            </w:r>
          </w:p>
        </w:tc>
      </w:tr>
      <w:tr w:rsidR="00256E0A" w:rsidRPr="00256E0A" w14:paraId="76180BF8" w14:textId="77777777" w:rsidTr="00196820">
        <w:trPr>
          <w:trHeight w:val="61"/>
        </w:trPr>
        <w:tc>
          <w:tcPr>
            <w:tcW w:w="1530" w:type="dxa"/>
            <w:gridSpan w:val="2"/>
          </w:tcPr>
          <w:p w14:paraId="0F91DF56" w14:textId="77777777" w:rsidR="00256E0A" w:rsidRPr="002A2212" w:rsidRDefault="00256E0A" w:rsidP="00256E0A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>LESSON PLANNING RATIONALE:</w:t>
            </w:r>
            <w:r w:rsidRPr="002A2212">
              <w:rPr>
                <w:b/>
                <w:sz w:val="20"/>
                <w:szCs w:val="20"/>
              </w:rPr>
              <w:br/>
            </w:r>
            <w:r w:rsidRPr="002A2212">
              <w:rPr>
                <w:sz w:val="20"/>
                <w:szCs w:val="20"/>
              </w:rPr>
              <w:t>Understanding of Research and Literature</w:t>
            </w:r>
          </w:p>
          <w:p w14:paraId="0ECB7806" w14:textId="77777777" w:rsidR="00256E0A" w:rsidRPr="002A2212" w:rsidRDefault="00256E0A" w:rsidP="00256E0A">
            <w:pPr>
              <w:spacing w:after="120" w:line="276" w:lineRule="auto"/>
              <w:rPr>
                <w:b/>
                <w:sz w:val="20"/>
                <w:szCs w:val="20"/>
                <w:shd w:val="pct15" w:color="auto" w:fill="auto"/>
              </w:rPr>
            </w:pPr>
          </w:p>
          <w:p w14:paraId="2425153D" w14:textId="3247C276" w:rsidR="009D3787" w:rsidRDefault="002011D4" w:rsidP="00256E0A">
            <w:pPr>
              <w:spacing w:after="58"/>
              <w:rPr>
                <w:b/>
                <w:sz w:val="20"/>
                <w:szCs w:val="20"/>
              </w:rPr>
            </w:pPr>
            <w:r w:rsidRPr="002011D4">
              <w:rPr>
                <w:b/>
                <w:sz w:val="20"/>
                <w:szCs w:val="20"/>
              </w:rPr>
              <w:t>I</w:t>
            </w:r>
            <w:r w:rsidR="00EE4255">
              <w:rPr>
                <w:b/>
                <w:sz w:val="20"/>
                <w:szCs w:val="20"/>
              </w:rPr>
              <w:t>L</w:t>
            </w:r>
            <w:r w:rsidRPr="002011D4">
              <w:rPr>
                <w:b/>
                <w:sz w:val="20"/>
                <w:szCs w:val="20"/>
              </w:rPr>
              <w:t>A 2.1; InTASC 7k, 8a</w:t>
            </w:r>
          </w:p>
          <w:p w14:paraId="521A20B6" w14:textId="79D8CB76" w:rsidR="00256E0A" w:rsidRPr="002A2212" w:rsidRDefault="009D3787" w:rsidP="00256E0A">
            <w:pPr>
              <w:spacing w:after="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 2.1</w:t>
            </w:r>
            <w:r w:rsidR="002011D4" w:rsidRPr="002011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F65BA7C" w14:textId="34B3DE61" w:rsidR="00256E0A" w:rsidRPr="002A2212" w:rsidRDefault="00256E0A" w:rsidP="00256E0A">
            <w:pPr>
              <w:spacing w:after="58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>2</w:t>
            </w:r>
            <w:r w:rsidR="00D438EE">
              <w:rPr>
                <w:b/>
                <w:sz w:val="20"/>
                <w:szCs w:val="20"/>
              </w:rPr>
              <w:t>0</w:t>
            </w:r>
            <w:r w:rsidRPr="002A221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0CB0151F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</w:tcPr>
          <w:p w14:paraId="5A26F338" w14:textId="29F89C05" w:rsidR="00256E0A" w:rsidRPr="002A2212" w:rsidRDefault="00D47FE1" w:rsidP="00D47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256E0A" w:rsidRPr="002A2212">
              <w:rPr>
                <w:sz w:val="20"/>
                <w:szCs w:val="20"/>
              </w:rPr>
              <w:t>ails to design lesson plans that demonstrate understanding of the research and literature that undergirds the reading and writing curriculum and instruction for students</w:t>
            </w:r>
            <w:r w:rsidR="00B80227" w:rsidRPr="002A2212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234D8496" w14:textId="418628F5" w:rsidR="00256E0A" w:rsidRPr="002A2212" w:rsidRDefault="00D47FE1" w:rsidP="00D47FE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E7C9A" w:rsidRPr="003E7C9A">
              <w:rPr>
                <w:sz w:val="20"/>
                <w:szCs w:val="20"/>
              </w:rPr>
              <w:t>esign</w:t>
            </w:r>
            <w:r>
              <w:rPr>
                <w:sz w:val="20"/>
                <w:szCs w:val="20"/>
              </w:rPr>
              <w:t>s</w:t>
            </w:r>
            <w:r w:rsidR="003E7C9A" w:rsidRPr="003E7C9A">
              <w:rPr>
                <w:sz w:val="20"/>
                <w:szCs w:val="20"/>
              </w:rPr>
              <w:t xml:space="preserve"> lesson plans that are passable and that demonstrate </w:t>
            </w:r>
            <w:r w:rsidR="00256E0A" w:rsidRPr="002A2212">
              <w:rPr>
                <w:sz w:val="20"/>
                <w:szCs w:val="20"/>
              </w:rPr>
              <w:t>understanding of the research and/or literature that undergirds the reading and/or writing curriculum and/or instruction for students</w:t>
            </w:r>
            <w:r w:rsidR="00B80227" w:rsidRPr="002A2212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6FE42EC7" w14:textId="52DE213C" w:rsidR="00256E0A" w:rsidRPr="002A2212" w:rsidRDefault="00D34CD8" w:rsidP="00D3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56E0A" w:rsidRPr="002A2212">
              <w:rPr>
                <w:sz w:val="20"/>
                <w:szCs w:val="20"/>
              </w:rPr>
              <w:t>esigns lesson plans that demonstrate understanding of the research and literature that undergirds the reading and writing curriculum and instruction for students</w:t>
            </w:r>
            <w:r w:rsidR="00B80227" w:rsidRPr="002A2212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FE382A7" w14:textId="2EADD9A8" w:rsidR="00256E0A" w:rsidRPr="002A2212" w:rsidRDefault="00D34CD8" w:rsidP="00D3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56E0A" w:rsidRPr="002A2212">
              <w:rPr>
                <w:sz w:val="20"/>
                <w:szCs w:val="20"/>
              </w:rPr>
              <w:t>ighly skilled and adept at designing lesson plans that demonstrate understanding of the research and literature that supports the reading and writing curriculum and instruction for students</w:t>
            </w:r>
            <w:r w:rsidR="00B80227" w:rsidRPr="002A2212">
              <w:rPr>
                <w:sz w:val="20"/>
                <w:szCs w:val="20"/>
              </w:rPr>
              <w:t>.</w:t>
            </w:r>
          </w:p>
        </w:tc>
      </w:tr>
      <w:tr w:rsidR="00256E0A" w:rsidRPr="00256E0A" w14:paraId="19F51828" w14:textId="77777777" w:rsidTr="0086691F">
        <w:trPr>
          <w:trHeight w:val="61"/>
        </w:trPr>
        <w:tc>
          <w:tcPr>
            <w:tcW w:w="10800" w:type="dxa"/>
            <w:gridSpan w:val="8"/>
          </w:tcPr>
          <w:p w14:paraId="139017FE" w14:textId="09E7455D" w:rsidR="00256E0A" w:rsidRPr="002A2212" w:rsidRDefault="00256E0A" w:rsidP="00256E0A">
            <w:pPr>
              <w:jc w:val="center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 xml:space="preserve">Format – </w:t>
            </w:r>
            <w:r w:rsidR="00C777F2">
              <w:rPr>
                <w:b/>
                <w:sz w:val="20"/>
                <w:szCs w:val="20"/>
              </w:rPr>
              <w:t>3</w:t>
            </w:r>
            <w:r w:rsidRPr="002A2212">
              <w:rPr>
                <w:b/>
                <w:sz w:val="20"/>
                <w:szCs w:val="20"/>
              </w:rPr>
              <w:t>0%</w:t>
            </w:r>
          </w:p>
        </w:tc>
      </w:tr>
      <w:tr w:rsidR="00256E0A" w:rsidRPr="00256E0A" w14:paraId="33C20EAA" w14:textId="77777777" w:rsidTr="00196820">
        <w:trPr>
          <w:trHeight w:val="61"/>
        </w:trPr>
        <w:tc>
          <w:tcPr>
            <w:tcW w:w="1530" w:type="dxa"/>
            <w:gridSpan w:val="2"/>
          </w:tcPr>
          <w:p w14:paraId="6AAC88CD" w14:textId="4C9E63F8" w:rsidR="00256E0A" w:rsidRPr="002A2212" w:rsidRDefault="00325C68" w:rsidP="00256E0A">
            <w:pPr>
              <w:spacing w:after="120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lastRenderedPageBreak/>
              <w:t>Research and Conventions</w:t>
            </w:r>
          </w:p>
          <w:p w14:paraId="78090B3E" w14:textId="77777777" w:rsidR="00256E0A" w:rsidRPr="002A2212" w:rsidRDefault="00256E0A" w:rsidP="00256E0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014383" w14:textId="77777777" w:rsidR="00256E0A" w:rsidRPr="002A2212" w:rsidRDefault="00256E0A" w:rsidP="00256E0A">
            <w:pPr>
              <w:spacing w:after="58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40" w:type="dxa"/>
          </w:tcPr>
          <w:p w14:paraId="6187A0F9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</w:tcPr>
          <w:p w14:paraId="2B376CFD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Submission is not supported by research.</w:t>
            </w:r>
          </w:p>
        </w:tc>
        <w:tc>
          <w:tcPr>
            <w:tcW w:w="1890" w:type="dxa"/>
          </w:tcPr>
          <w:p w14:paraId="085CFB68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Submission is inadequately supported by research that is not cited consistent with APA guidelines and/or the plan contains mechanical and conventional errors that affect meaning and/or clarity.</w:t>
            </w:r>
          </w:p>
        </w:tc>
        <w:tc>
          <w:tcPr>
            <w:tcW w:w="1800" w:type="dxa"/>
          </w:tcPr>
          <w:p w14:paraId="722581EC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Submission is adequately supported by research that is cited consistent with APA guidelines with some mechanical and conventional errors that do not significantly affect meaning or clarity.</w:t>
            </w:r>
          </w:p>
        </w:tc>
        <w:tc>
          <w:tcPr>
            <w:tcW w:w="1800" w:type="dxa"/>
          </w:tcPr>
          <w:p w14:paraId="23F61CF8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 xml:space="preserve">Submission is thoroughly supported by research that is cited consistent with APA guidelines and free of mechanical and conventional errors.  </w:t>
            </w:r>
          </w:p>
        </w:tc>
      </w:tr>
      <w:tr w:rsidR="00256E0A" w:rsidRPr="00256E0A" w14:paraId="69858E93" w14:textId="77777777" w:rsidTr="00196820">
        <w:trPr>
          <w:trHeight w:val="61"/>
        </w:trPr>
        <w:tc>
          <w:tcPr>
            <w:tcW w:w="1530" w:type="dxa"/>
            <w:gridSpan w:val="2"/>
          </w:tcPr>
          <w:p w14:paraId="36B96EEB" w14:textId="52D799C6" w:rsidR="00256E0A" w:rsidRPr="002A2212" w:rsidRDefault="002A2212" w:rsidP="00256E0A">
            <w:pPr>
              <w:spacing w:after="120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>Mechanics</w:t>
            </w:r>
          </w:p>
          <w:p w14:paraId="02E0FB13" w14:textId="77777777" w:rsidR="00256E0A" w:rsidRPr="002A2212" w:rsidRDefault="00256E0A" w:rsidP="00256E0A">
            <w:pPr>
              <w:spacing w:after="58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0CC93E" w14:textId="77777777" w:rsidR="00256E0A" w:rsidRPr="002A2212" w:rsidRDefault="00256E0A" w:rsidP="00256E0A">
            <w:pPr>
              <w:spacing w:after="58"/>
              <w:rPr>
                <w:b/>
                <w:sz w:val="20"/>
                <w:szCs w:val="20"/>
              </w:rPr>
            </w:pPr>
            <w:r w:rsidRPr="002A2212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40" w:type="dxa"/>
          </w:tcPr>
          <w:p w14:paraId="619111FC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</w:tcPr>
          <w:p w14:paraId="156BE5CE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1890" w:type="dxa"/>
          </w:tcPr>
          <w:p w14:paraId="675BBE4A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Frequent and repetitive mechanical errors distract the reader. Inconsistent language and/or word choice are present. Sentence structure is lacking.</w:t>
            </w:r>
          </w:p>
        </w:tc>
        <w:tc>
          <w:tcPr>
            <w:tcW w:w="1800" w:type="dxa"/>
          </w:tcPr>
          <w:p w14:paraId="45A00E66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Prose is largely free of mechanical errors, although a few may be present. The writer uses a variety of effective sentence structures and figures of speech, as well as some practice and content-related language.</w:t>
            </w:r>
          </w:p>
        </w:tc>
        <w:tc>
          <w:tcPr>
            <w:tcW w:w="1800" w:type="dxa"/>
          </w:tcPr>
          <w:p w14:paraId="28554003" w14:textId="77777777" w:rsidR="00256E0A" w:rsidRPr="002A2212" w:rsidRDefault="00256E0A" w:rsidP="00256E0A">
            <w:pPr>
              <w:rPr>
                <w:sz w:val="20"/>
                <w:szCs w:val="20"/>
              </w:rPr>
            </w:pPr>
            <w:r w:rsidRPr="002A2212">
              <w:rPr>
                <w:sz w:val="20"/>
                <w:szCs w:val="20"/>
              </w:rPr>
              <w:t>Submission is nearly/completely free of mechanical errors and has a clear, logical conceptual framework. Word choice reflects well-developed use of practice and content-related language. Sentence structures are varied and engaging.</w:t>
            </w:r>
          </w:p>
        </w:tc>
      </w:tr>
      <w:tr w:rsidR="00F2584B" w14:paraId="1B73370F" w14:textId="77777777" w:rsidTr="00F25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EDF" w14:textId="77777777" w:rsidR="00F2584B" w:rsidRPr="00F2584B" w:rsidRDefault="00F2584B" w:rsidP="00F2584B">
            <w:pPr>
              <w:spacing w:after="120"/>
              <w:rPr>
                <w:b/>
                <w:sz w:val="20"/>
                <w:szCs w:val="20"/>
              </w:rPr>
            </w:pPr>
            <w:r w:rsidRPr="00F2584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167" w14:textId="77777777" w:rsidR="00F2584B" w:rsidRDefault="00F2584B" w:rsidP="00F2584B">
            <w:pPr>
              <w:spacing w:after="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7F1" w14:textId="77777777" w:rsidR="00F2584B" w:rsidRPr="006A4312" w:rsidRDefault="00F2584B" w:rsidP="00F2584B">
            <w:pPr>
              <w:rPr>
                <w:sz w:val="20"/>
                <w:szCs w:val="20"/>
              </w:rPr>
            </w:pPr>
            <w:r w:rsidRPr="006A4312">
              <w:rPr>
                <w:sz w:val="20"/>
                <w:szCs w:val="20"/>
              </w:rPr>
              <w:t>No submission.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535" w14:textId="77777777" w:rsidR="00F2584B" w:rsidRPr="006A4312" w:rsidRDefault="00F2584B" w:rsidP="00F2584B">
            <w:pPr>
              <w:rPr>
                <w:sz w:val="20"/>
                <w:szCs w:val="20"/>
              </w:rPr>
            </w:pPr>
            <w:r w:rsidRPr="006A4312">
              <w:rPr>
                <w:sz w:val="20"/>
                <w:szCs w:val="20"/>
              </w:rPr>
              <w:t xml:space="preserve">Statement of purpose is not justified by the conclusion. Argument is illogical. Conclusion does not support the claim(s) made.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EC3" w14:textId="77777777" w:rsidR="00F2584B" w:rsidRPr="006A4312" w:rsidRDefault="00F2584B" w:rsidP="00D27F58">
            <w:pPr>
              <w:rPr>
                <w:sz w:val="20"/>
                <w:szCs w:val="20"/>
              </w:rPr>
            </w:pPr>
            <w:r w:rsidRPr="006A4312">
              <w:rPr>
                <w:sz w:val="20"/>
                <w:szCs w:val="20"/>
              </w:rPr>
              <w:t xml:space="preserve">Purpose statement is vague and claims do not thoroughly support it. Argument and conclusion are orderly, but present unconvincing justification of claims. </w:t>
            </w:r>
          </w:p>
          <w:p w14:paraId="2445E4A3" w14:textId="77777777" w:rsidR="00F2584B" w:rsidRPr="006A4312" w:rsidRDefault="00F2584B" w:rsidP="00F2584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241" w14:textId="77777777" w:rsidR="00F2584B" w:rsidRPr="006A4312" w:rsidRDefault="00F2584B" w:rsidP="00F2584B">
            <w:pPr>
              <w:rPr>
                <w:sz w:val="20"/>
                <w:szCs w:val="20"/>
              </w:rPr>
            </w:pPr>
            <w:r w:rsidRPr="006A4312">
              <w:rPr>
                <w:sz w:val="20"/>
                <w:szCs w:val="20"/>
              </w:rPr>
              <w:t>Purpose statement and conclusion are clear. Argument shows logical progression. There is a smooth progression of claims from introduction to conclusion.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491" w14:textId="77777777" w:rsidR="00F2584B" w:rsidRPr="006A4312" w:rsidRDefault="00F2584B" w:rsidP="00F2584B">
            <w:pPr>
              <w:rPr>
                <w:sz w:val="20"/>
                <w:szCs w:val="20"/>
              </w:rPr>
            </w:pPr>
            <w:r w:rsidRPr="00F2584B">
              <w:rPr>
                <w:sz w:val="20"/>
                <w:szCs w:val="20"/>
              </w:rPr>
              <w:t xml:space="preserve">Purpose statement and related conclusion are clear and convincing. Information is well organized and logical. </w:t>
            </w:r>
            <w:r w:rsidRPr="006A4312">
              <w:rPr>
                <w:sz w:val="20"/>
                <w:szCs w:val="20"/>
              </w:rPr>
              <w:t>Argument(s) is persuasive and presented in a distinctive and compelling manner.</w:t>
            </w:r>
          </w:p>
        </w:tc>
      </w:tr>
    </w:tbl>
    <w:p w14:paraId="1231019B" w14:textId="77777777" w:rsidR="003D47F9" w:rsidRPr="009F403E" w:rsidRDefault="003D47F9" w:rsidP="009F403E">
      <w:pPr>
        <w:spacing w:after="120"/>
        <w:rPr>
          <w:rFonts w:asciiTheme="minorHAnsi" w:hAnsiTheme="minorHAnsi"/>
          <w:sz w:val="14"/>
          <w:szCs w:val="14"/>
        </w:rPr>
      </w:pPr>
    </w:p>
    <w:p w14:paraId="31E22CA4" w14:textId="77777777" w:rsidR="005C2AF5" w:rsidRDefault="005C2AF5" w:rsidP="00F8565A"/>
    <w:sectPr w:rsidR="005C2AF5" w:rsidSect="000B3D6B">
      <w:headerReference w:type="default" r:id="rId13"/>
      <w:footerReference w:type="default" r:id="rId14"/>
      <w:headerReference w:type="first" r:id="rId15"/>
      <w:pgSz w:w="12240" w:h="15840"/>
      <w:pgMar w:top="1008" w:right="1008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4761D" w14:textId="77777777" w:rsidR="003B2FE9" w:rsidRDefault="003B2FE9" w:rsidP="000A5454">
      <w:r>
        <w:separator/>
      </w:r>
    </w:p>
  </w:endnote>
  <w:endnote w:type="continuationSeparator" w:id="0">
    <w:p w14:paraId="2D8D3683" w14:textId="77777777" w:rsidR="003B2FE9" w:rsidRDefault="003B2FE9" w:rsidP="000A5454">
      <w:r>
        <w:continuationSeparator/>
      </w:r>
    </w:p>
  </w:endnote>
  <w:endnote w:type="continuationNotice" w:id="1">
    <w:p w14:paraId="12D031D7" w14:textId="77777777" w:rsidR="003B2FE9" w:rsidRDefault="003B2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8711" w14:textId="626A045C" w:rsidR="003B2FE9" w:rsidRPr="003D47F9" w:rsidRDefault="003B2FE9" w:rsidP="00A5489C">
    <w:pPr>
      <w:pStyle w:val="Footer"/>
      <w:pBdr>
        <w:top w:val="single" w:sz="4" w:space="1" w:color="auto"/>
      </w:pBdr>
      <w:tabs>
        <w:tab w:val="clear" w:pos="9360"/>
        <w:tab w:val="left" w:pos="6480"/>
        <w:tab w:val="right" w:pos="9900"/>
      </w:tabs>
      <w:rPr>
        <w:rFonts w:asciiTheme="minorHAnsi" w:hAnsiTheme="minorHAnsi"/>
        <w:i/>
        <w:sz w:val="18"/>
        <w:szCs w:val="18"/>
      </w:rPr>
    </w:pPr>
    <w:r w:rsidRPr="004C0774">
      <w:rPr>
        <w:rFonts w:asciiTheme="minorHAnsi" w:eastAsia="Calibri" w:hAnsiTheme="minorHAnsi"/>
        <w:sz w:val="18"/>
        <w:szCs w:val="18"/>
      </w:rPr>
      <w:t>© 201</w:t>
    </w:r>
    <w:r w:rsidR="00D47FE1">
      <w:rPr>
        <w:rFonts w:asciiTheme="minorHAnsi" w:eastAsia="Calibri" w:hAnsiTheme="minorHAnsi"/>
        <w:sz w:val="18"/>
        <w:szCs w:val="18"/>
      </w:rPr>
      <w:t>6</w:t>
    </w:r>
    <w:r w:rsidRPr="004C0774">
      <w:rPr>
        <w:rFonts w:asciiTheme="minorHAnsi" w:eastAsia="Calibri" w:hAnsiTheme="minorHAnsi"/>
        <w:i/>
        <w:sz w:val="18"/>
        <w:szCs w:val="18"/>
      </w:rPr>
      <w:t>. Grand Canyon University. All Rights Reserved</w:t>
    </w:r>
    <w:r w:rsidRPr="004C0774">
      <w:rPr>
        <w:rFonts w:asciiTheme="minorHAnsi" w:eastAsia="Calibri" w:hAnsiTheme="minorHAnsi"/>
        <w:sz w:val="18"/>
        <w:szCs w:val="18"/>
      </w:rPr>
      <w:t>.</w:t>
    </w:r>
    <w:r w:rsidR="00C718D3">
      <w:rPr>
        <w:rFonts w:asciiTheme="minorHAnsi" w:hAnsiTheme="minorHAnsi"/>
        <w:sz w:val="18"/>
        <w:szCs w:val="18"/>
      </w:rPr>
      <w:t xml:space="preserve">                           </w:t>
    </w:r>
    <w:r>
      <w:rPr>
        <w:rFonts w:asciiTheme="minorHAnsi" w:hAnsiTheme="minorHAnsi"/>
        <w:i/>
        <w:sz w:val="18"/>
        <w:szCs w:val="18"/>
      </w:rPr>
      <w:t xml:space="preserve">Effective Date: </w:t>
    </w:r>
    <w:r w:rsidR="00D47FE1">
      <w:rPr>
        <w:rFonts w:asciiTheme="minorHAnsi" w:hAnsiTheme="minorHAnsi"/>
        <w:i/>
        <w:sz w:val="18"/>
        <w:szCs w:val="18"/>
      </w:rPr>
      <w:t>May 2016</w:t>
    </w:r>
    <w:r>
      <w:rPr>
        <w:rFonts w:asciiTheme="minorHAnsi" w:hAnsiTheme="minorHAnsi"/>
        <w:i/>
        <w:sz w:val="18"/>
        <w:szCs w:val="18"/>
      </w:rPr>
      <w:tab/>
    </w:r>
    <w:r w:rsidRPr="004C0774">
      <w:rPr>
        <w:rFonts w:asciiTheme="minorHAnsi" w:hAnsiTheme="minorHAnsi"/>
        <w:sz w:val="18"/>
        <w:szCs w:val="18"/>
      </w:rPr>
      <w:t xml:space="preserve"> Page </w:t>
    </w:r>
    <w:r w:rsidRPr="004C0774">
      <w:rPr>
        <w:rFonts w:asciiTheme="minorHAnsi" w:hAnsiTheme="minorHAnsi"/>
        <w:b/>
        <w:sz w:val="18"/>
        <w:szCs w:val="18"/>
      </w:rPr>
      <w:fldChar w:fldCharType="begin"/>
    </w:r>
    <w:r w:rsidRPr="004C0774">
      <w:rPr>
        <w:rFonts w:asciiTheme="minorHAnsi" w:hAnsiTheme="minorHAnsi"/>
        <w:b/>
        <w:sz w:val="18"/>
        <w:szCs w:val="18"/>
      </w:rPr>
      <w:instrText xml:space="preserve"> PAGE  \* Arabic  \* MERGEFORMAT </w:instrText>
    </w:r>
    <w:r w:rsidRPr="004C0774">
      <w:rPr>
        <w:rFonts w:asciiTheme="minorHAnsi" w:hAnsiTheme="minorHAnsi"/>
        <w:b/>
        <w:sz w:val="18"/>
        <w:szCs w:val="18"/>
      </w:rPr>
      <w:fldChar w:fldCharType="separate"/>
    </w:r>
    <w:r w:rsidR="004A7591">
      <w:rPr>
        <w:rFonts w:asciiTheme="minorHAnsi" w:hAnsiTheme="minorHAnsi"/>
        <w:b/>
        <w:noProof/>
        <w:sz w:val="18"/>
        <w:szCs w:val="18"/>
      </w:rPr>
      <w:t>2</w:t>
    </w:r>
    <w:r w:rsidRPr="004C0774">
      <w:rPr>
        <w:rFonts w:asciiTheme="minorHAnsi" w:hAnsiTheme="minorHAnsi"/>
        <w:b/>
        <w:sz w:val="18"/>
        <w:szCs w:val="18"/>
      </w:rPr>
      <w:fldChar w:fldCharType="end"/>
    </w:r>
    <w:r w:rsidRPr="004C0774">
      <w:rPr>
        <w:rFonts w:asciiTheme="minorHAnsi" w:hAnsiTheme="minorHAnsi"/>
        <w:sz w:val="18"/>
        <w:szCs w:val="18"/>
      </w:rPr>
      <w:t xml:space="preserve"> of </w:t>
    </w:r>
    <w:r w:rsidRPr="004C0774">
      <w:rPr>
        <w:rFonts w:asciiTheme="minorHAnsi" w:hAnsiTheme="minorHAnsi"/>
        <w:b/>
        <w:sz w:val="18"/>
        <w:szCs w:val="18"/>
      </w:rPr>
      <w:fldChar w:fldCharType="begin"/>
    </w:r>
    <w:r w:rsidRPr="004C0774">
      <w:rPr>
        <w:rFonts w:asciiTheme="minorHAnsi" w:hAnsiTheme="minorHAnsi"/>
        <w:b/>
        <w:sz w:val="18"/>
        <w:szCs w:val="18"/>
      </w:rPr>
      <w:instrText xml:space="preserve"> NUMPAGES  \* Arabic  \* MERGEFORMAT </w:instrText>
    </w:r>
    <w:r w:rsidRPr="004C0774">
      <w:rPr>
        <w:rFonts w:asciiTheme="minorHAnsi" w:hAnsiTheme="minorHAnsi"/>
        <w:b/>
        <w:sz w:val="18"/>
        <w:szCs w:val="18"/>
      </w:rPr>
      <w:fldChar w:fldCharType="separate"/>
    </w:r>
    <w:r w:rsidR="004A7591">
      <w:rPr>
        <w:rFonts w:asciiTheme="minorHAnsi" w:hAnsiTheme="minorHAnsi"/>
        <w:b/>
        <w:noProof/>
        <w:sz w:val="18"/>
        <w:szCs w:val="18"/>
      </w:rPr>
      <w:t>3</w:t>
    </w:r>
    <w:r w:rsidRPr="004C0774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D90F0" w14:textId="77777777" w:rsidR="003B2FE9" w:rsidRDefault="003B2FE9" w:rsidP="000A5454">
      <w:r>
        <w:separator/>
      </w:r>
    </w:p>
  </w:footnote>
  <w:footnote w:type="continuationSeparator" w:id="0">
    <w:p w14:paraId="34DDB1E8" w14:textId="77777777" w:rsidR="003B2FE9" w:rsidRDefault="003B2FE9" w:rsidP="000A5454">
      <w:r>
        <w:continuationSeparator/>
      </w:r>
    </w:p>
  </w:footnote>
  <w:footnote w:type="continuationNotice" w:id="1">
    <w:p w14:paraId="4863E362" w14:textId="77777777" w:rsidR="003B2FE9" w:rsidRDefault="003B2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97A7" w14:textId="3D5B04E5" w:rsidR="000B3D6B" w:rsidRDefault="000B3D6B" w:rsidP="000B3D6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667C" w14:textId="482EF9D2" w:rsidR="000B3D6B" w:rsidRDefault="000B3D6B" w:rsidP="000B3D6B">
    <w:pPr>
      <w:pStyle w:val="Header"/>
      <w:tabs>
        <w:tab w:val="clear" w:pos="9360"/>
        <w:tab w:val="left" w:pos="6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BEC"/>
    <w:multiLevelType w:val="hybridMultilevel"/>
    <w:tmpl w:val="B19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6E27"/>
    <w:multiLevelType w:val="hybridMultilevel"/>
    <w:tmpl w:val="2DAA3464"/>
    <w:lvl w:ilvl="0" w:tplc="45E6D530">
      <w:numFmt w:val="bullet"/>
      <w:lvlText w:val="•"/>
      <w:lvlJc w:val="left"/>
      <w:pPr>
        <w:ind w:left="144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B69C5"/>
    <w:multiLevelType w:val="hybridMultilevel"/>
    <w:tmpl w:val="2D50D824"/>
    <w:lvl w:ilvl="0" w:tplc="8D427E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775E"/>
    <w:multiLevelType w:val="hybridMultilevel"/>
    <w:tmpl w:val="EBD8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87E"/>
    <w:multiLevelType w:val="hybridMultilevel"/>
    <w:tmpl w:val="FC30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77E"/>
    <w:multiLevelType w:val="hybridMultilevel"/>
    <w:tmpl w:val="AB708DFA"/>
    <w:lvl w:ilvl="0" w:tplc="45E6D530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E124247"/>
    <w:multiLevelType w:val="hybridMultilevel"/>
    <w:tmpl w:val="9CC25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E7521"/>
    <w:multiLevelType w:val="hybridMultilevel"/>
    <w:tmpl w:val="6CE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63DB"/>
    <w:multiLevelType w:val="hybridMultilevel"/>
    <w:tmpl w:val="062E6FC0"/>
    <w:lvl w:ilvl="0" w:tplc="83FE08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B5D3E"/>
    <w:multiLevelType w:val="multilevel"/>
    <w:tmpl w:val="D6401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EE96149"/>
    <w:multiLevelType w:val="hybridMultilevel"/>
    <w:tmpl w:val="F74C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574A"/>
    <w:multiLevelType w:val="hybridMultilevel"/>
    <w:tmpl w:val="E3A4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5A54"/>
    <w:multiLevelType w:val="hybridMultilevel"/>
    <w:tmpl w:val="2E442FCA"/>
    <w:lvl w:ilvl="0" w:tplc="E794ABF4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90A17"/>
    <w:multiLevelType w:val="hybridMultilevel"/>
    <w:tmpl w:val="93800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BC23C0"/>
    <w:multiLevelType w:val="hybridMultilevel"/>
    <w:tmpl w:val="77AC7364"/>
    <w:lvl w:ilvl="0" w:tplc="80D4E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471F"/>
    <w:multiLevelType w:val="hybridMultilevel"/>
    <w:tmpl w:val="5E5C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01AA3"/>
    <w:multiLevelType w:val="hybridMultilevel"/>
    <w:tmpl w:val="1BBAFAFA"/>
    <w:lvl w:ilvl="0" w:tplc="0409000F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B1252"/>
    <w:multiLevelType w:val="hybridMultilevel"/>
    <w:tmpl w:val="56382C98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3AB5"/>
    <w:multiLevelType w:val="hybridMultilevel"/>
    <w:tmpl w:val="006C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B1A4A"/>
    <w:multiLevelType w:val="hybridMultilevel"/>
    <w:tmpl w:val="63228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E712ED"/>
    <w:multiLevelType w:val="hybridMultilevel"/>
    <w:tmpl w:val="80F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2947"/>
    <w:multiLevelType w:val="multilevel"/>
    <w:tmpl w:val="BE2063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8A05F93"/>
    <w:multiLevelType w:val="hybridMultilevel"/>
    <w:tmpl w:val="5206226E"/>
    <w:lvl w:ilvl="0" w:tplc="2A926B7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5E0EEE"/>
    <w:multiLevelType w:val="hybridMultilevel"/>
    <w:tmpl w:val="CAB4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20"/>
  </w:num>
  <w:num w:numId="9">
    <w:abstractNumId w:val="11"/>
  </w:num>
  <w:num w:numId="10">
    <w:abstractNumId w:val="15"/>
  </w:num>
  <w:num w:numId="11">
    <w:abstractNumId w:val="6"/>
  </w:num>
  <w:num w:numId="12">
    <w:abstractNumId w:val="12"/>
  </w:num>
  <w:num w:numId="13">
    <w:abstractNumId w:val="16"/>
  </w:num>
  <w:num w:numId="14">
    <w:abstractNumId w:val="1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0"/>
  </w:num>
  <w:num w:numId="20">
    <w:abstractNumId w:val="1"/>
  </w:num>
  <w:num w:numId="21">
    <w:abstractNumId w:val="5"/>
  </w:num>
  <w:num w:numId="22">
    <w:abstractNumId w:val="19"/>
  </w:num>
  <w:num w:numId="23">
    <w:abstractNumId w:val="23"/>
  </w:num>
  <w:num w:numId="24">
    <w:abstractNumId w:val="13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6"/>
    <w:rsid w:val="00001DE9"/>
    <w:rsid w:val="000266A8"/>
    <w:rsid w:val="000379A3"/>
    <w:rsid w:val="000614DF"/>
    <w:rsid w:val="000726E1"/>
    <w:rsid w:val="00084ED0"/>
    <w:rsid w:val="00094450"/>
    <w:rsid w:val="00095DF6"/>
    <w:rsid w:val="000964D4"/>
    <w:rsid w:val="000A2EA9"/>
    <w:rsid w:val="000A5454"/>
    <w:rsid w:val="000B3D6B"/>
    <w:rsid w:val="000B44E9"/>
    <w:rsid w:val="000B4E7C"/>
    <w:rsid w:val="000D07D0"/>
    <w:rsid w:val="000D7A36"/>
    <w:rsid w:val="000E44C8"/>
    <w:rsid w:val="000E4E7A"/>
    <w:rsid w:val="000E6BAC"/>
    <w:rsid w:val="00103DED"/>
    <w:rsid w:val="00121288"/>
    <w:rsid w:val="0012144C"/>
    <w:rsid w:val="00134695"/>
    <w:rsid w:val="001458AE"/>
    <w:rsid w:val="00147391"/>
    <w:rsid w:val="001517DC"/>
    <w:rsid w:val="001713B5"/>
    <w:rsid w:val="00183ED0"/>
    <w:rsid w:val="0018575F"/>
    <w:rsid w:val="0019227F"/>
    <w:rsid w:val="00196820"/>
    <w:rsid w:val="001A1C41"/>
    <w:rsid w:val="001B5A76"/>
    <w:rsid w:val="001B6C51"/>
    <w:rsid w:val="001C6304"/>
    <w:rsid w:val="001D4918"/>
    <w:rsid w:val="001E276D"/>
    <w:rsid w:val="001F026C"/>
    <w:rsid w:val="001F0E85"/>
    <w:rsid w:val="001F5EE8"/>
    <w:rsid w:val="002001FF"/>
    <w:rsid w:val="002011D4"/>
    <w:rsid w:val="00207C4B"/>
    <w:rsid w:val="00227788"/>
    <w:rsid w:val="00231915"/>
    <w:rsid w:val="00256E0A"/>
    <w:rsid w:val="00265232"/>
    <w:rsid w:val="002700A6"/>
    <w:rsid w:val="00275E97"/>
    <w:rsid w:val="00276986"/>
    <w:rsid w:val="00287060"/>
    <w:rsid w:val="0029651B"/>
    <w:rsid w:val="002A2212"/>
    <w:rsid w:val="002A4ED7"/>
    <w:rsid w:val="002B74D6"/>
    <w:rsid w:val="002C6086"/>
    <w:rsid w:val="002C772C"/>
    <w:rsid w:val="002D38B2"/>
    <w:rsid w:val="002E27AF"/>
    <w:rsid w:val="00313AA2"/>
    <w:rsid w:val="00320B6F"/>
    <w:rsid w:val="00325C68"/>
    <w:rsid w:val="00327142"/>
    <w:rsid w:val="003313D6"/>
    <w:rsid w:val="0034784A"/>
    <w:rsid w:val="00352664"/>
    <w:rsid w:val="0035602D"/>
    <w:rsid w:val="00362D6F"/>
    <w:rsid w:val="00364995"/>
    <w:rsid w:val="003701F3"/>
    <w:rsid w:val="00374A58"/>
    <w:rsid w:val="00386D67"/>
    <w:rsid w:val="003940BB"/>
    <w:rsid w:val="003960F6"/>
    <w:rsid w:val="00396998"/>
    <w:rsid w:val="003A3A52"/>
    <w:rsid w:val="003B2FE9"/>
    <w:rsid w:val="003D0B1C"/>
    <w:rsid w:val="003D47F9"/>
    <w:rsid w:val="003D6171"/>
    <w:rsid w:val="003E44EB"/>
    <w:rsid w:val="003E487E"/>
    <w:rsid w:val="003E7C9A"/>
    <w:rsid w:val="003F0BC6"/>
    <w:rsid w:val="003F1305"/>
    <w:rsid w:val="003F169A"/>
    <w:rsid w:val="003F4B4C"/>
    <w:rsid w:val="004074A9"/>
    <w:rsid w:val="00415B62"/>
    <w:rsid w:val="004449EE"/>
    <w:rsid w:val="00454DFA"/>
    <w:rsid w:val="00460281"/>
    <w:rsid w:val="004718D1"/>
    <w:rsid w:val="004719AD"/>
    <w:rsid w:val="004A19A1"/>
    <w:rsid w:val="004A38BE"/>
    <w:rsid w:val="004A7591"/>
    <w:rsid w:val="004B239F"/>
    <w:rsid w:val="004C7397"/>
    <w:rsid w:val="004F7FFA"/>
    <w:rsid w:val="0050693A"/>
    <w:rsid w:val="00511C7B"/>
    <w:rsid w:val="0052152E"/>
    <w:rsid w:val="00522FA0"/>
    <w:rsid w:val="0052750A"/>
    <w:rsid w:val="00543C47"/>
    <w:rsid w:val="00566839"/>
    <w:rsid w:val="00571B98"/>
    <w:rsid w:val="005775C1"/>
    <w:rsid w:val="00591E55"/>
    <w:rsid w:val="005B2232"/>
    <w:rsid w:val="005B5025"/>
    <w:rsid w:val="005B7DC0"/>
    <w:rsid w:val="005C2AF5"/>
    <w:rsid w:val="005C3AE8"/>
    <w:rsid w:val="005C5550"/>
    <w:rsid w:val="005C65DD"/>
    <w:rsid w:val="005D051B"/>
    <w:rsid w:val="005D1AD1"/>
    <w:rsid w:val="005E2263"/>
    <w:rsid w:val="005E3839"/>
    <w:rsid w:val="005F6CFF"/>
    <w:rsid w:val="0060193F"/>
    <w:rsid w:val="00602E7B"/>
    <w:rsid w:val="00650095"/>
    <w:rsid w:val="00657C57"/>
    <w:rsid w:val="00667D9B"/>
    <w:rsid w:val="00676DFD"/>
    <w:rsid w:val="00680508"/>
    <w:rsid w:val="00683178"/>
    <w:rsid w:val="00696045"/>
    <w:rsid w:val="006A5E20"/>
    <w:rsid w:val="006B78A4"/>
    <w:rsid w:val="006C5384"/>
    <w:rsid w:val="006E1536"/>
    <w:rsid w:val="006F5CBA"/>
    <w:rsid w:val="00715467"/>
    <w:rsid w:val="007178AA"/>
    <w:rsid w:val="00733F5D"/>
    <w:rsid w:val="00735F93"/>
    <w:rsid w:val="00742421"/>
    <w:rsid w:val="007437F8"/>
    <w:rsid w:val="007552E4"/>
    <w:rsid w:val="00757F72"/>
    <w:rsid w:val="00766C76"/>
    <w:rsid w:val="0077407E"/>
    <w:rsid w:val="007907D9"/>
    <w:rsid w:val="00792E1B"/>
    <w:rsid w:val="007A1603"/>
    <w:rsid w:val="007A2973"/>
    <w:rsid w:val="007C5A8C"/>
    <w:rsid w:val="007D4593"/>
    <w:rsid w:val="007F250E"/>
    <w:rsid w:val="007F7885"/>
    <w:rsid w:val="00803FD3"/>
    <w:rsid w:val="00812360"/>
    <w:rsid w:val="0081363C"/>
    <w:rsid w:val="0081437E"/>
    <w:rsid w:val="00814BCB"/>
    <w:rsid w:val="008179DB"/>
    <w:rsid w:val="0082011A"/>
    <w:rsid w:val="0082484E"/>
    <w:rsid w:val="00830BEC"/>
    <w:rsid w:val="0083576E"/>
    <w:rsid w:val="00843837"/>
    <w:rsid w:val="00852EE4"/>
    <w:rsid w:val="00863E9B"/>
    <w:rsid w:val="0086691F"/>
    <w:rsid w:val="008717F2"/>
    <w:rsid w:val="00875F0F"/>
    <w:rsid w:val="0088016D"/>
    <w:rsid w:val="00880787"/>
    <w:rsid w:val="008827D6"/>
    <w:rsid w:val="00883B81"/>
    <w:rsid w:val="0089203F"/>
    <w:rsid w:val="008A2173"/>
    <w:rsid w:val="008B16A3"/>
    <w:rsid w:val="008C5807"/>
    <w:rsid w:val="008C6AD4"/>
    <w:rsid w:val="008D225A"/>
    <w:rsid w:val="008E20AE"/>
    <w:rsid w:val="008E2B50"/>
    <w:rsid w:val="0091670D"/>
    <w:rsid w:val="009308F6"/>
    <w:rsid w:val="00931029"/>
    <w:rsid w:val="009324CC"/>
    <w:rsid w:val="00940B69"/>
    <w:rsid w:val="00941F7F"/>
    <w:rsid w:val="00944444"/>
    <w:rsid w:val="00945651"/>
    <w:rsid w:val="00945C7C"/>
    <w:rsid w:val="00947E70"/>
    <w:rsid w:val="009D0FA7"/>
    <w:rsid w:val="009D3787"/>
    <w:rsid w:val="009F403E"/>
    <w:rsid w:val="00A10D85"/>
    <w:rsid w:val="00A16056"/>
    <w:rsid w:val="00A23AD8"/>
    <w:rsid w:val="00A25EAC"/>
    <w:rsid w:val="00A33AC3"/>
    <w:rsid w:val="00A52CEB"/>
    <w:rsid w:val="00A5489C"/>
    <w:rsid w:val="00A601DC"/>
    <w:rsid w:val="00A766C0"/>
    <w:rsid w:val="00A81908"/>
    <w:rsid w:val="00A84502"/>
    <w:rsid w:val="00AA6103"/>
    <w:rsid w:val="00AB6E61"/>
    <w:rsid w:val="00AC0263"/>
    <w:rsid w:val="00AD6B99"/>
    <w:rsid w:val="00AD7C7E"/>
    <w:rsid w:val="00AD7DB6"/>
    <w:rsid w:val="00AE554B"/>
    <w:rsid w:val="00AE61FD"/>
    <w:rsid w:val="00AE7D6D"/>
    <w:rsid w:val="00B04371"/>
    <w:rsid w:val="00B26BD5"/>
    <w:rsid w:val="00B31EF6"/>
    <w:rsid w:val="00B34FA5"/>
    <w:rsid w:val="00B575ED"/>
    <w:rsid w:val="00B5772C"/>
    <w:rsid w:val="00B66F3C"/>
    <w:rsid w:val="00B80227"/>
    <w:rsid w:val="00B8474E"/>
    <w:rsid w:val="00B87F12"/>
    <w:rsid w:val="00BB19B3"/>
    <w:rsid w:val="00BC0426"/>
    <w:rsid w:val="00BC4D0F"/>
    <w:rsid w:val="00BD2F92"/>
    <w:rsid w:val="00BD4CC8"/>
    <w:rsid w:val="00BE7AA2"/>
    <w:rsid w:val="00C04A70"/>
    <w:rsid w:val="00C04B49"/>
    <w:rsid w:val="00C05F82"/>
    <w:rsid w:val="00C156FC"/>
    <w:rsid w:val="00C21875"/>
    <w:rsid w:val="00C35D3A"/>
    <w:rsid w:val="00C36257"/>
    <w:rsid w:val="00C41074"/>
    <w:rsid w:val="00C47DA4"/>
    <w:rsid w:val="00C718D3"/>
    <w:rsid w:val="00C777F2"/>
    <w:rsid w:val="00C84FAC"/>
    <w:rsid w:val="00C912EC"/>
    <w:rsid w:val="00CB59B6"/>
    <w:rsid w:val="00CC4186"/>
    <w:rsid w:val="00CE5A01"/>
    <w:rsid w:val="00CF29E2"/>
    <w:rsid w:val="00CF6821"/>
    <w:rsid w:val="00CF7BE8"/>
    <w:rsid w:val="00D11058"/>
    <w:rsid w:val="00D33B83"/>
    <w:rsid w:val="00D34071"/>
    <w:rsid w:val="00D34CD8"/>
    <w:rsid w:val="00D438EE"/>
    <w:rsid w:val="00D461F3"/>
    <w:rsid w:val="00D47736"/>
    <w:rsid w:val="00D47FE1"/>
    <w:rsid w:val="00D51AD6"/>
    <w:rsid w:val="00D63894"/>
    <w:rsid w:val="00D72F5A"/>
    <w:rsid w:val="00D73855"/>
    <w:rsid w:val="00D8089C"/>
    <w:rsid w:val="00D85E62"/>
    <w:rsid w:val="00DA6691"/>
    <w:rsid w:val="00DB4B53"/>
    <w:rsid w:val="00DD3DE7"/>
    <w:rsid w:val="00DD49FD"/>
    <w:rsid w:val="00DF4713"/>
    <w:rsid w:val="00E005DE"/>
    <w:rsid w:val="00E05915"/>
    <w:rsid w:val="00E17904"/>
    <w:rsid w:val="00E208C2"/>
    <w:rsid w:val="00E25492"/>
    <w:rsid w:val="00E27694"/>
    <w:rsid w:val="00E94EE2"/>
    <w:rsid w:val="00E97583"/>
    <w:rsid w:val="00EA05AF"/>
    <w:rsid w:val="00EA0745"/>
    <w:rsid w:val="00EE08A0"/>
    <w:rsid w:val="00EE4255"/>
    <w:rsid w:val="00EE7042"/>
    <w:rsid w:val="00EF1241"/>
    <w:rsid w:val="00F2584B"/>
    <w:rsid w:val="00F36404"/>
    <w:rsid w:val="00F3728F"/>
    <w:rsid w:val="00F504ED"/>
    <w:rsid w:val="00F504F3"/>
    <w:rsid w:val="00F51025"/>
    <w:rsid w:val="00F802F4"/>
    <w:rsid w:val="00F82BE1"/>
    <w:rsid w:val="00F8565A"/>
    <w:rsid w:val="00FA0C71"/>
    <w:rsid w:val="00FA4389"/>
    <w:rsid w:val="00FC085F"/>
    <w:rsid w:val="00FC1657"/>
    <w:rsid w:val="00FC52A1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75A00E1"/>
  <w15:docId w15:val="{DBA21DB0-F526-4837-A126-9E01A638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36"/>
    <w:pPr>
      <w:spacing w:before="120" w:after="120"/>
      <w:contextualSpacing/>
      <w:jc w:val="center"/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36"/>
    <w:pPr>
      <w:pBdr>
        <w:top w:val="single" w:sz="4" w:space="1" w:color="auto"/>
      </w:pBdr>
      <w:spacing w:before="240" w:after="120"/>
      <w:outlineLvl w:val="1"/>
    </w:pPr>
    <w:rPr>
      <w:rFonts w:asciiTheme="minorHAnsi" w:hAnsiTheme="minorHAnsi"/>
      <w:b/>
      <w:i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16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0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5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7736"/>
    <w:rPr>
      <w:rFonts w:eastAsia="Times New Roman" w:cs="Times New Roman"/>
      <w:b/>
      <w:i/>
      <w:sz w:val="30"/>
      <w:szCs w:val="28"/>
    </w:rPr>
  </w:style>
  <w:style w:type="paragraph" w:styleId="ListParagraph">
    <w:name w:val="List Paragraph"/>
    <w:basedOn w:val="Normal"/>
    <w:uiPriority w:val="34"/>
    <w:qFormat/>
    <w:rsid w:val="009F403E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3A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944444"/>
    <w:pPr>
      <w:spacing w:after="120"/>
    </w:pPr>
    <w:rPr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B239F"/>
    <w:pPr>
      <w:spacing w:after="120"/>
    </w:pPr>
    <w:rPr>
      <w:rFonts w:asciiTheme="minorHAnsi" w:hAnsiTheme="minorHAnsi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4B239F"/>
    <w:rPr>
      <w:rFonts w:eastAsia="Times New Roman" w:cs="Times New Roman"/>
      <w:b/>
      <w:sz w:val="24"/>
      <w:szCs w:val="24"/>
    </w:rPr>
  </w:style>
  <w:style w:type="character" w:customStyle="1" w:styleId="CommentTextChar1">
    <w:name w:val="Comment Text Char1"/>
    <w:uiPriority w:val="99"/>
    <w:locked/>
    <w:rsid w:val="0009445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47736"/>
    <w:rPr>
      <w:rFonts w:ascii="Times New Roman" w:eastAsia="Times New Roman" w:hAnsi="Times New Roman" w:cs="Times New Roman"/>
      <w:b/>
      <w:sz w:val="32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38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8B2"/>
    <w:rPr>
      <w:rFonts w:ascii="Times New Roman" w:eastAsia="Times New Roman" w:hAnsi="Times New Roman" w:cs="Times New Roman"/>
      <w:sz w:val="24"/>
      <w:szCs w:val="24"/>
    </w:rPr>
  </w:style>
  <w:style w:type="paragraph" w:customStyle="1" w:styleId="GrandCanyonNumberedList">
    <w:name w:val="Grand Canyon Numbered List"/>
    <w:basedOn w:val="Normal"/>
    <w:rsid w:val="00183ED0"/>
    <w:pPr>
      <w:tabs>
        <w:tab w:val="num" w:pos="360"/>
      </w:tabs>
      <w:ind w:left="360" w:hanging="360"/>
    </w:pPr>
  </w:style>
  <w:style w:type="paragraph" w:customStyle="1" w:styleId="GrandCanyonBulletedList">
    <w:name w:val="Grand Canyon Bulleted List"/>
    <w:basedOn w:val="Normal"/>
    <w:rsid w:val="007D4593"/>
    <w:pPr>
      <w:numPr>
        <w:numId w:val="18"/>
      </w:numPr>
      <w:tabs>
        <w:tab w:val="clear" w:pos="432"/>
        <w:tab w:val="num" w:pos="360"/>
      </w:tabs>
      <w:ind w:left="360" w:hanging="360"/>
    </w:pPr>
  </w:style>
  <w:style w:type="paragraph" w:styleId="Revision">
    <w:name w:val="Revision"/>
    <w:hidden/>
    <w:uiPriority w:val="99"/>
    <w:semiHidden/>
    <w:rsid w:val="00A3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36F0D5CA5BCEEC4E8DFEC8072099549F" ma:contentTypeVersion="18" ma:contentTypeDescription="Create a new Course Development document." ma:contentTypeScope="" ma:versionID="4fad736771d37f4ab951b60a99c9f75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4492</Value>
      <Value>3</Value>
      <Value>72</Value>
      <Value>1</Value>
      <Value>2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REA-520</TermName>
          <TermId xmlns="http://schemas.microsoft.com/office/infopath/2007/PartnerControls">ee7dc02a-2f79-4a35-8536-df49dcbd8dfa</TermId>
        </TermInfo>
      </Terms>
    </DocumentSubjectTaxHTField0>
    <CourseVersion xmlns="30a82cfc-8d0b-455e-b705-4035c60ff9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DB76-387E-41FA-B879-8A9CD528040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8DE0FA1-FB51-4C50-8C0B-43C1BEA0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2731D-401D-404A-A539-0C357CA40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0913C6-4B26-4F64-A00C-B3CC2E59C383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a82cfc-8d0b-455e-b705-4035c60ff9fd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94DD5D5-F067-4DA8-94DC-6F4472169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Sarah Hathaway</cp:lastModifiedBy>
  <cp:revision>104</cp:revision>
  <cp:lastPrinted>2014-06-09T20:25:00Z</cp:lastPrinted>
  <dcterms:created xsi:type="dcterms:W3CDTF">2014-06-09T21:33:00Z</dcterms:created>
  <dcterms:modified xsi:type="dcterms:W3CDTF">2018-02-26T15:56:00Z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0x010100A30BC5E90BED914E81F4B67CDEADBEEF0072B4D5296E9CCD41A4B955E8BC4A98B90036F0D5CA5BCEEC4E8DFEC8072099549F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ADESection">
    <vt:lpwstr>A: Program</vt:lpwstr>
  </property>
  <property fmtid="{D5CDD505-2E9C-101B-9397-08002B2CF9AE}" pid="8" name="ADEOwner">
    <vt:lpwstr/>
  </property>
  <property fmtid="{D5CDD505-2E9C-101B-9397-08002B2CF9AE}" pid="9" name="ADEPercentComplete">
    <vt:r8>0</vt:r8>
  </property>
  <property fmtid="{D5CDD505-2E9C-101B-9397-08002B2CF9AE}" pid="10" name="Contributors">
    <vt:lpwstr/>
  </property>
  <property fmtid="{D5CDD505-2E9C-101B-9397-08002B2CF9AE}" pid="11" name="DocumentSubject">
    <vt:lpwstr>4492;#REA-520|ee7dc02a-2f79-4a35-8536-df49dcbd8dfa</vt:lpwstr>
  </property>
  <property fmtid="{D5CDD505-2E9C-101B-9397-08002B2CF9AE}" pid="12" name="DocumentType">
    <vt:lpwstr>72;#Course Development|533941c5-78f9-4b70-9343-0feaf09f5b89</vt:lpwstr>
  </property>
  <property fmtid="{D5CDD505-2E9C-101B-9397-08002B2CF9AE}" pid="13" name="DocumentStatus">
    <vt:lpwstr/>
  </property>
  <property fmtid="{D5CDD505-2E9C-101B-9397-08002B2CF9AE}" pid="14" name="DocumentCategory">
    <vt:lpwstr/>
  </property>
</Properties>
</file>