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42" w:rsidRDefault="00786742">
      <w:pPr>
        <w:spacing w:before="2" w:line="150" w:lineRule="auto"/>
        <w:rPr>
          <w:sz w:val="15"/>
          <w:szCs w:val="15"/>
        </w:rPr>
      </w:pPr>
    </w:p>
    <w:p w:rsidR="00786742" w:rsidRDefault="00786742">
      <w:pPr>
        <w:spacing w:line="20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0446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120"/>
        <w:gridCol w:w="7326"/>
      </w:tblGrid>
      <w:tr w:rsidR="00786742">
        <w:trPr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786742" w:rsidRDefault="002F3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3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Student Name /ID Number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786742" w:rsidRDefault="00786742"/>
        </w:tc>
      </w:tr>
      <w:tr w:rsidR="00786742">
        <w:trPr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786742" w:rsidRDefault="002F3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3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Unit Number and Title</w:t>
            </w:r>
          </w:p>
        </w:tc>
        <w:tc>
          <w:tcPr>
            <w:tcW w:w="7326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786742" w:rsidRDefault="002F3A9E">
            <w:r>
              <w:t>13 Financial Reporting</w:t>
            </w:r>
          </w:p>
        </w:tc>
      </w:tr>
      <w:tr w:rsidR="00BA5251">
        <w:trPr>
          <w:gridAfter w:val="1"/>
          <w:wAfter w:w="7326" w:type="dxa"/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BA5251" w:rsidRDefault="00BA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3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Academic Year</w:t>
            </w:r>
          </w:p>
        </w:tc>
      </w:tr>
      <w:tr w:rsidR="00BA5251">
        <w:trPr>
          <w:gridAfter w:val="1"/>
          <w:wAfter w:w="7326" w:type="dxa"/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BA5251" w:rsidRDefault="00BA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3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Unit Assessor</w:t>
            </w:r>
          </w:p>
        </w:tc>
      </w:tr>
      <w:tr w:rsidR="00BA5251">
        <w:trPr>
          <w:gridAfter w:val="1"/>
          <w:wAfter w:w="7326" w:type="dxa"/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BA5251" w:rsidRDefault="00BA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3"/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 xml:space="preserve">I. V. Name </w:t>
            </w:r>
          </w:p>
        </w:tc>
      </w:tr>
      <w:tr w:rsidR="00BA5251">
        <w:trPr>
          <w:gridAfter w:val="1"/>
          <w:wAfter w:w="7326" w:type="dxa"/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BA5251" w:rsidRDefault="00BA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3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Assignment Title</w:t>
            </w:r>
          </w:p>
        </w:tc>
      </w:tr>
      <w:tr w:rsidR="00BA5251">
        <w:trPr>
          <w:gridAfter w:val="1"/>
          <w:wAfter w:w="7326" w:type="dxa"/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BA5251" w:rsidRDefault="00BA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Issue Date</w:t>
            </w:r>
          </w:p>
        </w:tc>
      </w:tr>
      <w:tr w:rsidR="00BA5251">
        <w:trPr>
          <w:gridAfter w:val="1"/>
          <w:wAfter w:w="7326" w:type="dxa"/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BA5251" w:rsidRDefault="00BA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Submission Date</w:t>
            </w:r>
          </w:p>
        </w:tc>
      </w:tr>
      <w:tr w:rsidR="00BA5251">
        <w:trPr>
          <w:gridAfter w:val="1"/>
          <w:wAfter w:w="7326" w:type="dxa"/>
          <w:trHeight w:val="440"/>
        </w:trPr>
        <w:tc>
          <w:tcPr>
            <w:tcW w:w="312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AEE2FA"/>
          </w:tcPr>
          <w:p w:rsidR="00BA5251" w:rsidRDefault="00BA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3"/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color w:val="231F20"/>
                <w:sz w:val="21"/>
                <w:szCs w:val="21"/>
              </w:rPr>
              <w:t>Date</w:t>
            </w:r>
          </w:p>
        </w:tc>
      </w:tr>
    </w:tbl>
    <w:p w:rsidR="00786742" w:rsidRDefault="00786742">
      <w:pPr>
        <w:spacing w:before="10"/>
      </w:pPr>
    </w:p>
    <w:tbl>
      <w:tblPr>
        <w:tblStyle w:val="a0"/>
        <w:tblW w:w="10400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786742">
        <w:trPr>
          <w:trHeight w:val="560"/>
        </w:trPr>
        <w:tc>
          <w:tcPr>
            <w:tcW w:w="1040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2F3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3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Submission Format:</w:t>
            </w:r>
          </w:p>
        </w:tc>
      </w:tr>
      <w:tr w:rsidR="00786742">
        <w:trPr>
          <w:trHeight w:val="560"/>
        </w:trPr>
        <w:tc>
          <w:tcPr>
            <w:tcW w:w="1040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786742" w:rsidRDefault="00786742">
            <w:pPr>
              <w:jc w:val="both"/>
              <w:rPr>
                <w:b/>
              </w:rPr>
            </w:pPr>
          </w:p>
          <w:p w:rsidR="00786742" w:rsidRDefault="002F3A9E">
            <w:pPr>
              <w:jc w:val="both"/>
              <w:rPr>
                <w:b/>
              </w:rPr>
            </w:pPr>
            <w:r>
              <w:rPr>
                <w:b/>
              </w:rPr>
              <w:t>ASSIGNMENT:</w:t>
            </w:r>
          </w:p>
          <w:p w:rsidR="00786742" w:rsidRDefault="00786742">
            <w:pPr>
              <w:jc w:val="both"/>
            </w:pPr>
          </w:p>
          <w:p w:rsidR="00786742" w:rsidRDefault="002F3A9E">
            <w:pPr>
              <w:jc w:val="both"/>
            </w:pPr>
            <w:r>
              <w:t xml:space="preserve">The submission is in the form of an individual numerical/written report. This should be written in a concise, formal business style using single spacing and font size 12. You are required to make use of headings, paragraphs and subsections as appropriate, </w:t>
            </w:r>
            <w:r>
              <w:t xml:space="preserve">and all work must be supported with research and referenced using the Harvard referencing system. Provide working notes wherever required. The document must be submitted to </w:t>
            </w:r>
            <w:proofErr w:type="spellStart"/>
            <w:r>
              <w:t>turnitin</w:t>
            </w:r>
            <w:proofErr w:type="spellEnd"/>
            <w:r>
              <w:t xml:space="preserve"> in word document. Please provide a bibliography using Harvard referencing </w:t>
            </w:r>
            <w:r>
              <w:t xml:space="preserve">system if you referred any sources for theoretical parts or questions. The numbers/numerical statements and calculations must be neatly/clearly shown so that the </w:t>
            </w:r>
            <w:proofErr w:type="gramStart"/>
            <w:r>
              <w:t>assessor assess</w:t>
            </w:r>
            <w:proofErr w:type="gramEnd"/>
            <w:r>
              <w:t xml:space="preserve"> the work of the learner appropriately.</w:t>
            </w:r>
          </w:p>
          <w:p w:rsidR="00786742" w:rsidRDefault="00786742">
            <w:pPr>
              <w:jc w:val="both"/>
            </w:pPr>
          </w:p>
        </w:tc>
      </w:tr>
      <w:tr w:rsidR="00786742">
        <w:trPr>
          <w:trHeight w:val="560"/>
        </w:trPr>
        <w:tc>
          <w:tcPr>
            <w:tcW w:w="1040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2F3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3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Unit Learning Outcomes:</w:t>
            </w:r>
          </w:p>
        </w:tc>
      </w:tr>
      <w:tr w:rsidR="00786742">
        <w:trPr>
          <w:trHeight w:val="2660"/>
        </w:trPr>
        <w:tc>
          <w:tcPr>
            <w:tcW w:w="1040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786742" w:rsidRDefault="00786742"/>
          <w:p w:rsidR="00786742" w:rsidRDefault="00786742"/>
          <w:p w:rsidR="00786742" w:rsidRDefault="00786742"/>
          <w:p w:rsidR="00786742" w:rsidRDefault="002F3A9E">
            <w:pPr>
              <w:jc w:val="both"/>
            </w:pPr>
            <w:r>
              <w:rPr>
                <w:b/>
              </w:rPr>
              <w:t>LO3:</w:t>
            </w:r>
            <w:r>
              <w:t xml:space="preserve"> Evaluate financial reporting standards and theoretical models and</w:t>
            </w:r>
          </w:p>
          <w:p w:rsidR="00786742" w:rsidRDefault="002F3A9E">
            <w:pPr>
              <w:jc w:val="both"/>
            </w:pPr>
            <w:r>
              <w:t>concepts</w:t>
            </w:r>
          </w:p>
          <w:p w:rsidR="00786742" w:rsidRDefault="00786742">
            <w:pPr>
              <w:jc w:val="both"/>
            </w:pPr>
          </w:p>
          <w:p w:rsidR="00786742" w:rsidRDefault="00786742">
            <w:pPr>
              <w:jc w:val="both"/>
            </w:pPr>
          </w:p>
          <w:p w:rsidR="00786742" w:rsidRDefault="00786742">
            <w:pPr>
              <w:jc w:val="both"/>
            </w:pPr>
          </w:p>
          <w:p w:rsidR="00786742" w:rsidRDefault="002F3A9E">
            <w:pPr>
              <w:jc w:val="both"/>
            </w:pPr>
            <w:r>
              <w:rPr>
                <w:b/>
              </w:rPr>
              <w:t>LO4:</w:t>
            </w:r>
            <w:r>
              <w:t xml:space="preserve"> Evaluate international differences in financial reporting</w:t>
            </w:r>
          </w:p>
          <w:p w:rsidR="00786742" w:rsidRDefault="00786742">
            <w:pPr>
              <w:jc w:val="both"/>
            </w:pPr>
          </w:p>
          <w:p w:rsidR="00786742" w:rsidRDefault="00786742">
            <w:pPr>
              <w:jc w:val="both"/>
            </w:pPr>
          </w:p>
          <w:p w:rsidR="00786742" w:rsidRDefault="00786742">
            <w:pPr>
              <w:jc w:val="both"/>
            </w:pPr>
          </w:p>
          <w:p w:rsidR="00786742" w:rsidRDefault="00786742">
            <w:pPr>
              <w:jc w:val="both"/>
            </w:pPr>
          </w:p>
          <w:p w:rsidR="00786742" w:rsidRDefault="00786742">
            <w:pPr>
              <w:jc w:val="both"/>
            </w:pPr>
          </w:p>
        </w:tc>
      </w:tr>
      <w:tr w:rsidR="00786742">
        <w:trPr>
          <w:trHeight w:val="560"/>
        </w:trPr>
        <w:tc>
          <w:tcPr>
            <w:tcW w:w="1040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2F3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3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Assignment Brief and Guidance:</w:t>
            </w:r>
          </w:p>
        </w:tc>
      </w:tr>
      <w:tr w:rsidR="00786742">
        <w:trPr>
          <w:trHeight w:val="13860"/>
        </w:trPr>
        <w:tc>
          <w:tcPr>
            <w:tcW w:w="1040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</w:tcPr>
          <w:p w:rsidR="00786742" w:rsidRDefault="002F3A9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Summary </w:t>
            </w:r>
          </w:p>
          <w:p w:rsidR="00786742" w:rsidRDefault="002F3A9E">
            <w:pPr>
              <w:spacing w:line="276" w:lineRule="auto"/>
              <w:jc w:val="both"/>
              <w:rPr>
                <w:b/>
              </w:rPr>
            </w:pPr>
            <w:r>
              <w:t>“</w:t>
            </w:r>
            <w:r>
              <w:rPr>
                <w:b/>
              </w:rPr>
              <w:t>The information in financial statements has to be communicated clearly and effectively to help investors make investment decisions”</w:t>
            </w:r>
          </w:p>
          <w:p w:rsidR="00786742" w:rsidRDefault="002F3A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Hans </w:t>
            </w:r>
            <w:proofErr w:type="spellStart"/>
            <w:r>
              <w:rPr>
                <w:b/>
              </w:rPr>
              <w:t>Hoogervorst</w:t>
            </w:r>
            <w:proofErr w:type="spellEnd"/>
            <w:r>
              <w:rPr>
                <w:b/>
              </w:rPr>
              <w:t xml:space="preserve"> </w:t>
            </w:r>
          </w:p>
          <w:p w:rsidR="00786742" w:rsidRDefault="002F3A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Chairman of the International Accounting </w:t>
            </w:r>
            <w:r>
              <w:rPr>
                <w:b/>
              </w:rPr>
              <w:t>Standards Board</w:t>
            </w:r>
          </w:p>
          <w:p w:rsidR="00786742" w:rsidRDefault="00786742">
            <w:pPr>
              <w:spacing w:line="276" w:lineRule="auto"/>
              <w:rPr>
                <w:b/>
              </w:rPr>
            </w:pPr>
          </w:p>
          <w:p w:rsidR="00786742" w:rsidRDefault="00786742">
            <w:pPr>
              <w:spacing w:line="276" w:lineRule="auto"/>
              <w:jc w:val="both"/>
            </w:pPr>
          </w:p>
          <w:p w:rsidR="00786742" w:rsidRDefault="002F3A9E">
            <w:pPr>
              <w:spacing w:line="276" w:lineRule="auto"/>
            </w:pPr>
            <w:r>
              <w:t>Refer to the attached Case study 1 and 2; “Fonterra Co-operative Group Limited” and “International differences before IFRS” Critically evaluate the application of IFRS in application to specific countries and differences in financial repo</w:t>
            </w:r>
            <w:r>
              <w:t>rting based on models and theories.</w:t>
            </w:r>
          </w:p>
          <w:p w:rsidR="00786742" w:rsidRDefault="00786742">
            <w:pPr>
              <w:spacing w:line="276" w:lineRule="auto"/>
            </w:pPr>
          </w:p>
          <w:p w:rsidR="00786742" w:rsidRDefault="002F3A9E">
            <w:pPr>
              <w:spacing w:line="276" w:lineRule="auto"/>
            </w:pPr>
            <w:r>
              <w:t>Your report should include the following;</w:t>
            </w:r>
          </w:p>
          <w:p w:rsidR="00786742" w:rsidRDefault="00786742">
            <w:pPr>
              <w:spacing w:line="276" w:lineRule="auto"/>
            </w:pPr>
          </w:p>
          <w:p w:rsidR="00786742" w:rsidRDefault="002F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Explain the benefits of International Accounting Standards (IAS) and International Financial Reporting Standards (IFRS).</w:t>
            </w:r>
          </w:p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:rsidR="00786742" w:rsidRDefault="002F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Evaluate the models of financial reporting and auditing.</w:t>
            </w:r>
          </w:p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6742" w:rsidRDefault="002F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Evaluate the differences in importance of financial reporting across different countries.</w:t>
            </w:r>
          </w:p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6742" w:rsidRDefault="002F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Critically evaluate financial reporting and auditing through the coherent application of theories and model</w:t>
            </w:r>
            <w:r>
              <w:rPr>
                <w:color w:val="000000"/>
              </w:rPr>
              <w:t>s to support judgements and conclusions.</w:t>
            </w:r>
          </w:p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6742" w:rsidRDefault="002F3A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Critically evaluate the factors that influence international differences in financial reporting.</w:t>
            </w:r>
          </w:p>
          <w:p w:rsidR="00786742" w:rsidRDefault="00786742">
            <w:pPr>
              <w:spacing w:line="276" w:lineRule="auto"/>
            </w:pPr>
          </w:p>
          <w:p w:rsidR="00786742" w:rsidRDefault="00786742">
            <w:pPr>
              <w:spacing w:line="276" w:lineRule="auto"/>
            </w:pPr>
          </w:p>
          <w:p w:rsidR="00786742" w:rsidRDefault="00786742">
            <w:pPr>
              <w:spacing w:line="276" w:lineRule="auto"/>
            </w:pPr>
          </w:p>
          <w:p w:rsidR="00786742" w:rsidRDefault="00786742">
            <w:pPr>
              <w:spacing w:line="276" w:lineRule="auto"/>
              <w:jc w:val="both"/>
            </w:pPr>
          </w:p>
        </w:tc>
      </w:tr>
    </w:tbl>
    <w:p w:rsidR="00786742" w:rsidRDefault="007867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6742">
          <w:headerReference w:type="default" r:id="rId8"/>
          <w:footerReference w:type="default" r:id="rId9"/>
          <w:pgSz w:w="11906" w:h="16840"/>
          <w:pgMar w:top="1440" w:right="1080" w:bottom="1440" w:left="1080" w:header="720" w:footer="720" w:gutter="0"/>
          <w:pgNumType w:start="1"/>
          <w:cols w:space="720"/>
        </w:sectPr>
      </w:pPr>
    </w:p>
    <w:p w:rsidR="00786742" w:rsidRDefault="00786742">
      <w:pPr>
        <w:spacing w:before="2" w:line="80" w:lineRule="auto"/>
        <w:rPr>
          <w:sz w:val="8"/>
          <w:szCs w:val="8"/>
        </w:rPr>
      </w:pPr>
    </w:p>
    <w:tbl>
      <w:tblPr>
        <w:tblStyle w:val="a1"/>
        <w:tblW w:w="9945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432"/>
        <w:gridCol w:w="2551"/>
        <w:gridCol w:w="2552"/>
        <w:gridCol w:w="2410"/>
      </w:tblGrid>
      <w:tr w:rsidR="00786742">
        <w:trPr>
          <w:trHeight w:val="520"/>
        </w:trPr>
        <w:tc>
          <w:tcPr>
            <w:tcW w:w="9945" w:type="dxa"/>
            <w:gridSpan w:val="4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120" w:lineRule="auto"/>
              <w:jc w:val="center"/>
              <w:rPr>
                <w:b/>
                <w:color w:val="000000"/>
              </w:rPr>
            </w:pPr>
          </w:p>
          <w:p w:rsidR="00786742" w:rsidRDefault="002F3A9E">
            <w:pPr>
              <w:jc w:val="center"/>
              <w:rPr>
                <w:b/>
              </w:rPr>
            </w:pPr>
            <w:r>
              <w:rPr>
                <w:b/>
              </w:rPr>
              <w:t>Learning Outcomes and Assessment Criteria</w:t>
            </w:r>
          </w:p>
        </w:tc>
      </w:tr>
      <w:tr w:rsidR="00786742">
        <w:trPr>
          <w:trHeight w:val="520"/>
        </w:trPr>
        <w:tc>
          <w:tcPr>
            <w:tcW w:w="243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2F3A9E">
            <w:pPr>
              <w:jc w:val="center"/>
            </w:pPr>
            <w:r>
              <w:t>Learning Outcome</w:t>
            </w:r>
          </w:p>
        </w:tc>
        <w:tc>
          <w:tcPr>
            <w:tcW w:w="255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2F3A9E">
            <w:pPr>
              <w:jc w:val="center"/>
            </w:pPr>
            <w:r>
              <w:t>Pass</w:t>
            </w:r>
          </w:p>
        </w:tc>
        <w:tc>
          <w:tcPr>
            <w:tcW w:w="255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2F3A9E">
            <w:pPr>
              <w:jc w:val="center"/>
            </w:pPr>
            <w:r>
              <w:t>Merit</w:t>
            </w:r>
          </w:p>
        </w:tc>
        <w:tc>
          <w:tcPr>
            <w:tcW w:w="2410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shd w:val="clear" w:color="auto" w:fill="CEEDFC"/>
          </w:tcPr>
          <w:p w:rsidR="00786742" w:rsidRDefault="002F3A9E">
            <w:pPr>
              <w:jc w:val="center"/>
            </w:pPr>
            <w:r>
              <w:t>Distinction</w:t>
            </w:r>
          </w:p>
        </w:tc>
      </w:tr>
      <w:tr w:rsidR="00786742">
        <w:trPr>
          <w:trHeight w:val="1680"/>
        </w:trPr>
        <w:tc>
          <w:tcPr>
            <w:tcW w:w="2432" w:type="dxa"/>
            <w:vMerge w:val="restart"/>
            <w:tcBorders>
              <w:top w:val="single" w:sz="8" w:space="0" w:color="002756"/>
              <w:left w:val="single" w:sz="8" w:space="0" w:color="002756"/>
              <w:right w:val="single" w:sz="8" w:space="0" w:color="002756"/>
            </w:tcBorders>
            <w:vAlign w:val="center"/>
          </w:tcPr>
          <w:p w:rsidR="00786742" w:rsidRDefault="002F3A9E">
            <w:pPr>
              <w:jc w:val="center"/>
            </w:pPr>
            <w:r>
              <w:rPr>
                <w:b/>
              </w:rPr>
              <w:t>LO3:</w:t>
            </w:r>
            <w:r>
              <w:t xml:space="preserve"> Evaluate financial reporting standards and</w:t>
            </w:r>
          </w:p>
          <w:p w:rsidR="00786742" w:rsidRDefault="002F3A9E">
            <w:r>
              <w:t xml:space="preserve"> Theoretical models and concepts.</w:t>
            </w:r>
          </w:p>
          <w:p w:rsidR="00786742" w:rsidRDefault="00786742">
            <w:pPr>
              <w:jc w:val="center"/>
            </w:pPr>
          </w:p>
        </w:tc>
        <w:tc>
          <w:tcPr>
            <w:tcW w:w="255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786742" w:rsidRDefault="002F3A9E">
            <w:pPr>
              <w:jc w:val="center"/>
            </w:pPr>
            <w:r>
              <w:rPr>
                <w:b/>
              </w:rPr>
              <w:t>P5</w:t>
            </w:r>
            <w:r>
              <w:t xml:space="preserve">  Explain the benefits of</w:t>
            </w:r>
          </w:p>
          <w:p w:rsidR="00786742" w:rsidRDefault="002F3A9E">
            <w:pPr>
              <w:jc w:val="center"/>
            </w:pPr>
            <w:r>
              <w:t>International Accounting</w:t>
            </w:r>
          </w:p>
          <w:p w:rsidR="00786742" w:rsidRDefault="002F3A9E">
            <w:pPr>
              <w:jc w:val="center"/>
            </w:pPr>
            <w:r>
              <w:t>Standards (IAS) and</w:t>
            </w:r>
          </w:p>
          <w:p w:rsidR="00786742" w:rsidRDefault="002F3A9E">
            <w:pPr>
              <w:jc w:val="center"/>
            </w:pPr>
            <w:r>
              <w:t>International Financial</w:t>
            </w:r>
          </w:p>
          <w:p w:rsidR="00786742" w:rsidRDefault="002F3A9E">
            <w:pPr>
              <w:jc w:val="center"/>
            </w:pPr>
            <w:r>
              <w:t>Reporting Standards</w:t>
            </w:r>
          </w:p>
          <w:p w:rsidR="00786742" w:rsidRDefault="002F3A9E">
            <w:pPr>
              <w:jc w:val="center"/>
            </w:pPr>
            <w:r>
              <w:t>(IFRS)</w:t>
            </w:r>
            <w:proofErr w:type="gramStart"/>
            <w:r>
              <w:t>..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8" w:space="0" w:color="002756"/>
              <w:left w:val="single" w:sz="8" w:space="0" w:color="002756"/>
              <w:right w:val="single" w:sz="8" w:space="0" w:color="002756"/>
            </w:tcBorders>
            <w:vAlign w:val="center"/>
          </w:tcPr>
          <w:p w:rsidR="00786742" w:rsidRDefault="002F3A9E">
            <w:pPr>
              <w:jc w:val="center"/>
            </w:pPr>
            <w:r>
              <w:rPr>
                <w:b/>
              </w:rPr>
              <w:t>M3</w:t>
            </w:r>
            <w:r>
              <w:t xml:space="preserve"> Critically evaluate</w:t>
            </w:r>
          </w:p>
          <w:p w:rsidR="00786742" w:rsidRDefault="002F3A9E">
            <w:pPr>
              <w:jc w:val="center"/>
            </w:pPr>
            <w:r>
              <w:t>financial reporting and</w:t>
            </w:r>
          </w:p>
          <w:p w:rsidR="00786742" w:rsidRDefault="002F3A9E">
            <w:pPr>
              <w:jc w:val="center"/>
            </w:pPr>
            <w:r>
              <w:t>auditing through the</w:t>
            </w:r>
          </w:p>
          <w:p w:rsidR="00786742" w:rsidRDefault="002F3A9E">
            <w:pPr>
              <w:jc w:val="center"/>
            </w:pPr>
            <w:r>
              <w:t>coherent application of</w:t>
            </w:r>
          </w:p>
          <w:p w:rsidR="00786742" w:rsidRDefault="002F3A9E">
            <w:pPr>
              <w:jc w:val="center"/>
            </w:pPr>
            <w:r>
              <w:t>theories and models to</w:t>
            </w:r>
          </w:p>
          <w:p w:rsidR="00786742" w:rsidRDefault="002F3A9E">
            <w:pPr>
              <w:jc w:val="center"/>
            </w:pPr>
            <w:r>
              <w:t>support judgements and</w:t>
            </w:r>
          </w:p>
          <w:p w:rsidR="00786742" w:rsidRDefault="002F3A9E">
            <w:pPr>
              <w:jc w:val="center"/>
            </w:pPr>
            <w:r>
              <w:t xml:space="preserve">Conclusions. </w:t>
            </w:r>
          </w:p>
        </w:tc>
        <w:tc>
          <w:tcPr>
            <w:tcW w:w="2410" w:type="dxa"/>
            <w:vMerge w:val="restart"/>
            <w:tcBorders>
              <w:top w:val="single" w:sz="8" w:space="0" w:color="002756"/>
              <w:left w:val="single" w:sz="8" w:space="0" w:color="002756"/>
              <w:right w:val="single" w:sz="8" w:space="0" w:color="002756"/>
            </w:tcBorders>
            <w:vAlign w:val="center"/>
          </w:tcPr>
          <w:p w:rsidR="00786742" w:rsidRDefault="00786742">
            <w:pPr>
              <w:jc w:val="center"/>
              <w:rPr>
                <w:b/>
              </w:rPr>
            </w:pPr>
          </w:p>
          <w:p w:rsidR="00786742" w:rsidRDefault="002F3A9E">
            <w:pPr>
              <w:jc w:val="center"/>
            </w:pPr>
            <w:r>
              <w:rPr>
                <w:b/>
              </w:rPr>
              <w:t>D3</w:t>
            </w:r>
            <w:r>
              <w:t xml:space="preserve"> Critically </w:t>
            </w:r>
            <w:proofErr w:type="gramStart"/>
            <w:r>
              <w:t>evaluate</w:t>
            </w:r>
            <w:proofErr w:type="gramEnd"/>
            <w:r>
              <w:t xml:space="preserve"> the application of IFRS in application to specific countries and differences in financial reporting based on models and theories.</w:t>
            </w:r>
          </w:p>
        </w:tc>
      </w:tr>
      <w:tr w:rsidR="00786742">
        <w:trPr>
          <w:trHeight w:val="1680"/>
        </w:trPr>
        <w:tc>
          <w:tcPr>
            <w:tcW w:w="2432" w:type="dxa"/>
            <w:vMerge/>
            <w:tcBorders>
              <w:top w:val="single" w:sz="8" w:space="0" w:color="002756"/>
              <w:left w:val="single" w:sz="8" w:space="0" w:color="002756"/>
              <w:right w:val="single" w:sz="8" w:space="0" w:color="002756"/>
            </w:tcBorders>
            <w:vAlign w:val="center"/>
          </w:tcPr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786742" w:rsidRDefault="002F3A9E">
            <w:pPr>
              <w:jc w:val="center"/>
            </w:pPr>
            <w:r>
              <w:t>P6 Evaluate the models of</w:t>
            </w:r>
          </w:p>
          <w:p w:rsidR="00786742" w:rsidRDefault="002F3A9E">
            <w:pPr>
              <w:jc w:val="center"/>
            </w:pPr>
            <w:r>
              <w:t>financial reporting and</w:t>
            </w:r>
          </w:p>
          <w:p w:rsidR="00786742" w:rsidRDefault="002F3A9E">
            <w:pPr>
              <w:jc w:val="center"/>
              <w:rPr>
                <w:b/>
              </w:rPr>
            </w:pPr>
            <w:r>
              <w:t>auditin</w:t>
            </w:r>
            <w:r>
              <w:rPr>
                <w:b/>
              </w:rPr>
              <w:t>g</w:t>
            </w:r>
          </w:p>
        </w:tc>
        <w:tc>
          <w:tcPr>
            <w:tcW w:w="2552" w:type="dxa"/>
            <w:vMerge/>
            <w:tcBorders>
              <w:top w:val="single" w:sz="8" w:space="0" w:color="002756"/>
              <w:left w:val="single" w:sz="8" w:space="0" w:color="002756"/>
              <w:right w:val="single" w:sz="8" w:space="0" w:color="002756"/>
            </w:tcBorders>
            <w:vAlign w:val="center"/>
          </w:tcPr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8" w:space="0" w:color="002756"/>
              <w:left w:val="single" w:sz="8" w:space="0" w:color="002756"/>
              <w:right w:val="single" w:sz="8" w:space="0" w:color="002756"/>
            </w:tcBorders>
            <w:vAlign w:val="center"/>
          </w:tcPr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86742">
        <w:trPr>
          <w:trHeight w:val="4580"/>
        </w:trPr>
        <w:tc>
          <w:tcPr>
            <w:tcW w:w="243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786742" w:rsidRDefault="002F3A9E">
            <w:pPr>
              <w:jc w:val="center"/>
            </w:pPr>
            <w:r>
              <w:rPr>
                <w:b/>
              </w:rPr>
              <w:t>LO4:</w:t>
            </w:r>
            <w:r>
              <w:t xml:space="preserve"> Evaluate international differences in financial</w:t>
            </w:r>
          </w:p>
          <w:p w:rsidR="00786742" w:rsidRDefault="002F3A9E">
            <w:pPr>
              <w:jc w:val="center"/>
            </w:pPr>
            <w:r>
              <w:t xml:space="preserve">reporting </w:t>
            </w:r>
          </w:p>
        </w:tc>
        <w:tc>
          <w:tcPr>
            <w:tcW w:w="2551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786742" w:rsidRDefault="002F3A9E">
            <w:pPr>
              <w:jc w:val="center"/>
            </w:pPr>
            <w:r>
              <w:rPr>
                <w:b/>
              </w:rPr>
              <w:t>P7</w:t>
            </w:r>
            <w:r>
              <w:t xml:space="preserve"> Evaluate the</w:t>
            </w:r>
          </w:p>
          <w:p w:rsidR="00786742" w:rsidRDefault="002F3A9E">
            <w:pPr>
              <w:jc w:val="center"/>
            </w:pPr>
            <w:bookmarkStart w:id="1" w:name="_gjdgxs" w:colFirst="0" w:colLast="0"/>
            <w:bookmarkEnd w:id="1"/>
            <w:r>
              <w:t>Differences an importance of financial reporting across different countries.</w:t>
            </w:r>
          </w:p>
          <w:p w:rsidR="00786742" w:rsidRDefault="0078674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002756"/>
              <w:left w:val="single" w:sz="8" w:space="0" w:color="002756"/>
              <w:bottom w:val="single" w:sz="8" w:space="0" w:color="002756"/>
              <w:right w:val="single" w:sz="8" w:space="0" w:color="002756"/>
            </w:tcBorders>
            <w:vAlign w:val="center"/>
          </w:tcPr>
          <w:p w:rsidR="00786742" w:rsidRDefault="002F3A9E">
            <w:pPr>
              <w:jc w:val="center"/>
            </w:pPr>
            <w:r>
              <w:rPr>
                <w:b/>
              </w:rPr>
              <w:t xml:space="preserve">M4 </w:t>
            </w:r>
            <w:r>
              <w:t xml:space="preserve">Critically </w:t>
            </w:r>
            <w:proofErr w:type="gramStart"/>
            <w:r>
              <w:t>evaluate</w:t>
            </w:r>
            <w:proofErr w:type="gramEnd"/>
            <w:r>
              <w:t xml:space="preserve"> the factors that influence international differences in financial reporting.</w:t>
            </w:r>
          </w:p>
        </w:tc>
        <w:tc>
          <w:tcPr>
            <w:tcW w:w="2410" w:type="dxa"/>
            <w:vMerge/>
            <w:tcBorders>
              <w:top w:val="single" w:sz="8" w:space="0" w:color="002756"/>
              <w:left w:val="single" w:sz="8" w:space="0" w:color="002756"/>
              <w:right w:val="single" w:sz="8" w:space="0" w:color="002756"/>
            </w:tcBorders>
            <w:vAlign w:val="center"/>
          </w:tcPr>
          <w:p w:rsidR="00786742" w:rsidRDefault="00786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786742" w:rsidRDefault="00786742">
      <w:pPr>
        <w:spacing w:before="1" w:line="150" w:lineRule="auto"/>
        <w:rPr>
          <w:sz w:val="15"/>
          <w:szCs w:val="15"/>
        </w:rPr>
      </w:pPr>
    </w:p>
    <w:p w:rsidR="00786742" w:rsidRDefault="00786742">
      <w:pPr>
        <w:spacing w:line="200" w:lineRule="auto"/>
        <w:rPr>
          <w:sz w:val="20"/>
          <w:szCs w:val="20"/>
        </w:rPr>
      </w:pPr>
    </w:p>
    <w:p w:rsidR="00786742" w:rsidRDefault="002F3A9E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0" w:right="161" w:hanging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</w:p>
    <w:p w:rsidR="00786742" w:rsidRDefault="002F3A9E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0" w:right="161" w:hanging="100"/>
        <w:jc w:val="center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PLEASE READ THIS PAGE CAREFULLY TO ENSURE YOU COVER WHAT IS REQUIRED TO SATISFY THE GRADE</w:t>
      </w:r>
    </w:p>
    <w:p w:rsidR="00786742" w:rsidRDefault="00786742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0" w:right="161" w:hanging="100"/>
        <w:rPr>
          <w:rFonts w:ascii="Arial" w:eastAsia="Arial" w:hAnsi="Arial" w:cs="Arial"/>
          <w:color w:val="000000"/>
        </w:rPr>
      </w:pPr>
    </w:p>
    <w:p w:rsidR="00786742" w:rsidRDefault="00786742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0" w:right="161" w:hanging="100"/>
        <w:rPr>
          <w:rFonts w:ascii="Arial" w:eastAsia="Arial" w:hAnsi="Arial" w:cs="Arial"/>
          <w:color w:val="000000"/>
        </w:rPr>
      </w:pPr>
    </w:p>
    <w:p w:rsidR="00786742" w:rsidRDefault="00786742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0" w:right="161" w:hanging="100"/>
        <w:rPr>
          <w:rFonts w:ascii="Arial" w:eastAsia="Arial" w:hAnsi="Arial" w:cs="Arial"/>
          <w:color w:val="000000"/>
        </w:rPr>
      </w:pPr>
    </w:p>
    <w:p w:rsidR="00786742" w:rsidRDefault="00786742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00" w:right="161" w:hanging="100"/>
        <w:rPr>
          <w:rFonts w:ascii="Arial" w:eastAsia="Arial" w:hAnsi="Arial" w:cs="Arial"/>
          <w:color w:val="000000"/>
        </w:rPr>
      </w:pPr>
    </w:p>
    <w:p w:rsidR="00786742" w:rsidRDefault="002F3A9E">
      <w:pPr>
        <w:jc w:val="center"/>
        <w:rPr>
          <w:b/>
          <w:smallCaps/>
        </w:rPr>
      </w:pPr>
      <w:r>
        <w:rPr>
          <w:b/>
          <w:smallCaps/>
        </w:rPr>
        <w:t>LEARNER ASSESSMENT SUBMISSION AND DECLARATION</w:t>
      </w:r>
    </w:p>
    <w:p w:rsidR="00786742" w:rsidRDefault="00786742">
      <w:pPr>
        <w:rPr>
          <w:rFonts w:ascii="Verdana" w:eastAsia="Verdana" w:hAnsi="Verdana" w:cs="Verdana"/>
          <w:b/>
        </w:rPr>
      </w:pPr>
    </w:p>
    <w:p w:rsidR="00786742" w:rsidRDefault="00786742">
      <w:pPr>
        <w:rPr>
          <w:rFonts w:ascii="Verdana" w:eastAsia="Verdana" w:hAnsi="Verdana" w:cs="Verdana"/>
          <w:b/>
        </w:rPr>
      </w:pPr>
    </w:p>
    <w:sectPr w:rsidR="00786742">
      <w:type w:val="continuous"/>
      <w:pgSz w:w="11906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9E" w:rsidRDefault="002F3A9E">
      <w:r>
        <w:separator/>
      </w:r>
    </w:p>
  </w:endnote>
  <w:endnote w:type="continuationSeparator" w:id="0">
    <w:p w:rsidR="002F3A9E" w:rsidRDefault="002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42" w:rsidRDefault="002F3A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A5251">
      <w:rPr>
        <w:color w:val="000000"/>
      </w:rPr>
      <w:fldChar w:fldCharType="separate"/>
    </w:r>
    <w:r w:rsidR="00BA5251">
      <w:rPr>
        <w:noProof/>
        <w:color w:val="000000"/>
      </w:rPr>
      <w:t>1</w:t>
    </w:r>
    <w:r>
      <w:rPr>
        <w:color w:val="000000"/>
      </w:rPr>
      <w:fldChar w:fldCharType="end"/>
    </w:r>
  </w:p>
  <w:p w:rsidR="00786742" w:rsidRDefault="007867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9E" w:rsidRDefault="002F3A9E">
      <w:r>
        <w:separator/>
      </w:r>
    </w:p>
  </w:footnote>
  <w:footnote w:type="continuationSeparator" w:id="0">
    <w:p w:rsidR="002F3A9E" w:rsidRDefault="002F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42" w:rsidRDefault="00786742">
    <w:pPr>
      <w:spacing w:before="2" w:line="150" w:lineRule="auto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516"/>
    <w:multiLevelType w:val="multilevel"/>
    <w:tmpl w:val="88EEA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ECB5BE0"/>
    <w:multiLevelType w:val="multilevel"/>
    <w:tmpl w:val="BCF0C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742"/>
    <w:rsid w:val="002F3A9E"/>
    <w:rsid w:val="00786742"/>
    <w:rsid w:val="00B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10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6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60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10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6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60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2018-05-22T20:13:00Z</dcterms:created>
  <dcterms:modified xsi:type="dcterms:W3CDTF">2018-05-22T20:15:00Z</dcterms:modified>
</cp:coreProperties>
</file>