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61A2" w14:textId="77777777" w:rsidR="00BB32F4" w:rsidRDefault="00BB32F4" w:rsidP="00BB32F4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-Evaluate and document Starbuck’s revenue growth initiatives(e.g. new products, new stores, international markets) over the past three years.  This evaluation should assess pertinent initiatives by product/geographic segment. </w:t>
      </w:r>
    </w:p>
    <w:p w14:paraId="31345E24" w14:textId="77777777" w:rsidR="00BB32F4" w:rsidRDefault="00BB32F4" w:rsidP="00BB32F4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redactor-invisible-space"/>
          <w:rFonts w:ascii="Arial" w:hAnsi="Arial" w:cs="Arial"/>
          <w:color w:val="333333"/>
          <w:sz w:val="21"/>
          <w:szCs w:val="21"/>
        </w:rPr>
        <w:t>- For each of the initiatives, evaluate and document SBUX’s historic growth trends using product/geographic segments or other SBUX reporting information.​</w:t>
      </w:r>
    </w:p>
    <w:p w14:paraId="410C6032" w14:textId="77777777" w:rsidR="00BB32F4" w:rsidRDefault="00BB32F4" w:rsidP="00BB32F4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redactor-invisible-space"/>
          <w:rFonts w:ascii="Arial" w:hAnsi="Arial" w:cs="Arial"/>
          <w:color w:val="333333"/>
          <w:sz w:val="21"/>
          <w:szCs w:val="21"/>
        </w:rPr>
        <w:t>-Use data from 10K</w:t>
      </w:r>
    </w:p>
    <w:p w14:paraId="474CACC8" w14:textId="77777777" w:rsidR="00B7762A" w:rsidRPr="00BB32F4" w:rsidRDefault="00B7762A" w:rsidP="00BB32F4">
      <w:bookmarkStart w:id="0" w:name="_GoBack"/>
      <w:bookmarkEnd w:id="0"/>
    </w:p>
    <w:sectPr w:rsidR="00B7762A" w:rsidRPr="00BB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EB"/>
    <w:rsid w:val="008C3EEB"/>
    <w:rsid w:val="00B7762A"/>
    <w:rsid w:val="00B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E10B8-56E3-4312-A61F-BBC82E13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a0"/>
    <w:rsid w:val="00BB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Huihua Mi</dc:creator>
  <cp:keywords/>
  <dc:description/>
  <cp:lastModifiedBy>Huihua Mi</cp:lastModifiedBy>
  <cp:revision>2</cp:revision>
  <dcterms:created xsi:type="dcterms:W3CDTF">2019-01-19T01:43:00Z</dcterms:created>
  <dcterms:modified xsi:type="dcterms:W3CDTF">2019-01-19T01:44:00Z</dcterms:modified>
</cp:coreProperties>
</file>