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FD8" w:rsidRDefault="00664FD8" w:rsidP="00FC4BB0">
      <w:pPr>
        <w:jc w:val="center"/>
        <w:rPr>
          <w:lang w:val="en-US"/>
        </w:rPr>
      </w:pPr>
      <w:bookmarkStart w:id="0" w:name="_GoBack"/>
      <w:bookmarkEnd w:id="0"/>
    </w:p>
    <w:p w:rsidR="003C191F" w:rsidRDefault="003C191F" w:rsidP="00FC4BB0">
      <w:pPr>
        <w:jc w:val="center"/>
        <w:rPr>
          <w:lang w:val="en-US"/>
        </w:rPr>
      </w:pPr>
    </w:p>
    <w:p w:rsidR="003C191F" w:rsidRDefault="003C191F" w:rsidP="00FC4BB0">
      <w:pPr>
        <w:jc w:val="center"/>
        <w:rPr>
          <w:lang w:val="en-US"/>
        </w:rPr>
      </w:pPr>
    </w:p>
    <w:p w:rsidR="003C191F" w:rsidRDefault="003C191F" w:rsidP="00FC4BB0">
      <w:pPr>
        <w:jc w:val="center"/>
        <w:rPr>
          <w:lang w:val="en-US"/>
        </w:rPr>
      </w:pPr>
    </w:p>
    <w:p w:rsidR="003C191F" w:rsidRDefault="003C191F" w:rsidP="00FC4BB0">
      <w:pPr>
        <w:jc w:val="center"/>
        <w:rPr>
          <w:lang w:val="en-US"/>
        </w:rPr>
      </w:pPr>
    </w:p>
    <w:p w:rsidR="003C191F" w:rsidRDefault="003C191F" w:rsidP="00FC4BB0">
      <w:pPr>
        <w:jc w:val="center"/>
        <w:rPr>
          <w:lang w:val="en-US"/>
        </w:rPr>
      </w:pPr>
    </w:p>
    <w:p w:rsidR="003C191F" w:rsidRDefault="003C191F" w:rsidP="00FC4BB0">
      <w:pPr>
        <w:jc w:val="center"/>
        <w:rPr>
          <w:lang w:val="en-US"/>
        </w:rPr>
      </w:pPr>
    </w:p>
    <w:p w:rsidR="003C191F" w:rsidRDefault="003C191F" w:rsidP="00FC4BB0">
      <w:pPr>
        <w:jc w:val="center"/>
        <w:rPr>
          <w:lang w:val="en-US"/>
        </w:rPr>
      </w:pPr>
      <w:r>
        <w:rPr>
          <w:lang w:val="en-US"/>
        </w:rPr>
        <w:t>Week 2 Assignment – Sociological Imagination &amp; Socialization</w:t>
      </w:r>
    </w:p>
    <w:p w:rsidR="003C191F" w:rsidRDefault="003C191F" w:rsidP="00FC4BB0">
      <w:pPr>
        <w:jc w:val="center"/>
        <w:rPr>
          <w:lang w:val="en-US"/>
        </w:rPr>
      </w:pPr>
    </w:p>
    <w:p w:rsidR="003C191F" w:rsidRDefault="003C191F" w:rsidP="00FC4BB0">
      <w:pPr>
        <w:jc w:val="center"/>
        <w:rPr>
          <w:lang w:val="en-US"/>
        </w:rPr>
      </w:pPr>
    </w:p>
    <w:p w:rsidR="003C191F" w:rsidRDefault="003C191F" w:rsidP="00FC4BB0">
      <w:pPr>
        <w:jc w:val="center"/>
        <w:rPr>
          <w:lang w:val="en-US"/>
        </w:rPr>
      </w:pPr>
    </w:p>
    <w:p w:rsidR="003C191F" w:rsidRDefault="003C191F" w:rsidP="00FC4BB0">
      <w:pPr>
        <w:jc w:val="center"/>
        <w:rPr>
          <w:lang w:val="en-US"/>
        </w:rPr>
      </w:pPr>
    </w:p>
    <w:p w:rsidR="003C191F" w:rsidRDefault="003C191F" w:rsidP="00FC4BB0">
      <w:pPr>
        <w:jc w:val="center"/>
        <w:rPr>
          <w:lang w:val="en-US"/>
        </w:rPr>
      </w:pPr>
    </w:p>
    <w:p w:rsidR="003C191F" w:rsidRDefault="003C191F" w:rsidP="00FC4BB0">
      <w:pPr>
        <w:jc w:val="center"/>
        <w:rPr>
          <w:lang w:val="en-US"/>
        </w:rPr>
      </w:pPr>
      <w:r>
        <w:rPr>
          <w:lang w:val="en-US"/>
        </w:rPr>
        <w:t>Name</w:t>
      </w:r>
    </w:p>
    <w:p w:rsidR="003C191F" w:rsidRDefault="003C191F" w:rsidP="00FC4BB0">
      <w:pPr>
        <w:jc w:val="center"/>
        <w:rPr>
          <w:lang w:val="en-US"/>
        </w:rPr>
      </w:pPr>
      <w:r>
        <w:rPr>
          <w:lang w:val="en-US"/>
        </w:rPr>
        <w:t>Institution</w:t>
      </w:r>
    </w:p>
    <w:p w:rsidR="003C191F" w:rsidRDefault="003C191F" w:rsidP="00FC4BB0">
      <w:pPr>
        <w:jc w:val="center"/>
        <w:rPr>
          <w:lang w:val="en-US"/>
        </w:rPr>
      </w:pPr>
    </w:p>
    <w:p w:rsidR="003C191F" w:rsidRDefault="003C191F" w:rsidP="00FC4BB0">
      <w:pPr>
        <w:jc w:val="center"/>
        <w:rPr>
          <w:lang w:val="en-US"/>
        </w:rPr>
      </w:pPr>
    </w:p>
    <w:p w:rsidR="003C191F" w:rsidRDefault="003C191F" w:rsidP="00FC4BB0">
      <w:pPr>
        <w:jc w:val="center"/>
        <w:rPr>
          <w:lang w:val="en-US"/>
        </w:rPr>
      </w:pPr>
    </w:p>
    <w:p w:rsidR="003C191F" w:rsidRDefault="003C191F" w:rsidP="00FC4BB0">
      <w:pPr>
        <w:jc w:val="center"/>
        <w:rPr>
          <w:lang w:val="en-US"/>
        </w:rPr>
      </w:pPr>
    </w:p>
    <w:p w:rsidR="003C191F" w:rsidRDefault="003C191F" w:rsidP="00FC4BB0">
      <w:pPr>
        <w:jc w:val="center"/>
        <w:rPr>
          <w:lang w:val="en-US"/>
        </w:rPr>
      </w:pPr>
    </w:p>
    <w:p w:rsidR="003C191F" w:rsidRDefault="003C191F" w:rsidP="00FC4BB0">
      <w:pPr>
        <w:jc w:val="center"/>
        <w:rPr>
          <w:lang w:val="en-US"/>
        </w:rPr>
      </w:pPr>
      <w:r>
        <w:rPr>
          <w:lang w:val="en-US"/>
        </w:rPr>
        <w:lastRenderedPageBreak/>
        <w:t>Week 2 Assignment – Sociological Imagination &amp; Socialization</w:t>
      </w:r>
    </w:p>
    <w:p w:rsidR="008667E2" w:rsidRPr="00D3316C" w:rsidRDefault="008667E2" w:rsidP="008667E2">
      <w:pPr>
        <w:pStyle w:val="Header"/>
        <w:tabs>
          <w:tab w:val="clear" w:pos="4513"/>
          <w:tab w:val="clear" w:pos="9026"/>
        </w:tabs>
        <w:spacing w:after="160" w:line="480" w:lineRule="auto"/>
        <w:rPr>
          <w:b/>
          <w:bCs/>
          <w:lang w:val="en-US"/>
        </w:rPr>
      </w:pPr>
      <w:r w:rsidRPr="00D3316C">
        <w:rPr>
          <w:b/>
          <w:bCs/>
          <w:lang w:val="en-US"/>
        </w:rPr>
        <w:t>Question Set 1: Social Causes of Homelessness Among Veterans</w:t>
      </w:r>
    </w:p>
    <w:p w:rsidR="00CE17D8" w:rsidRDefault="00876BB0" w:rsidP="008667E2">
      <w:pPr>
        <w:pStyle w:val="Header"/>
        <w:tabs>
          <w:tab w:val="clear" w:pos="4513"/>
          <w:tab w:val="clear" w:pos="9026"/>
        </w:tabs>
        <w:spacing w:after="160" w:line="480" w:lineRule="auto"/>
        <w:ind w:firstLine="567"/>
        <w:rPr>
          <w:lang w:val="en-US"/>
        </w:rPr>
      </w:pPr>
      <w:r>
        <w:rPr>
          <w:lang w:val="en-US"/>
        </w:rPr>
        <w:t>Many veterans like Arty Fischel find themselves homeless due to an array of social forces</w:t>
      </w:r>
      <w:r w:rsidR="00D61554">
        <w:rPr>
          <w:lang w:val="en-US"/>
        </w:rPr>
        <w:t>, and sociological imagination can help in understanding their situations</w:t>
      </w:r>
      <w:r>
        <w:rPr>
          <w:lang w:val="en-US"/>
        </w:rPr>
        <w:t>. 12.3% of all the homeless adults in the United States are veterans, a proportion that is relatively high, and, therefore, requires addressing (Tsai &amp; Rosenheck, 2015). Therefore, are multiple social factors that may have contributed to Fischel’s situation. Firstly, the veteran may have found himself homeless due to intimate partner or family issues. Logan et al. (2016) argue that issues with family members or intimate partners tend to cause disorientation among people, and veterans’ cases of homelessness and suicidal thoughts are often associated with social isolation caused by</w:t>
      </w:r>
      <w:r w:rsidR="00D61554">
        <w:rPr>
          <w:lang w:val="en-US"/>
        </w:rPr>
        <w:t xml:space="preserve"> the aforementioned issues. </w:t>
      </w:r>
    </w:p>
    <w:p w:rsidR="008667E2" w:rsidRDefault="00D61554" w:rsidP="008667E2">
      <w:pPr>
        <w:pStyle w:val="Header"/>
        <w:tabs>
          <w:tab w:val="clear" w:pos="4513"/>
          <w:tab w:val="clear" w:pos="9026"/>
        </w:tabs>
        <w:spacing w:after="160" w:line="480" w:lineRule="auto"/>
        <w:ind w:firstLine="567"/>
        <w:rPr>
          <w:lang w:val="en-US"/>
        </w:rPr>
      </w:pPr>
      <w:r>
        <w:rPr>
          <w:lang w:val="en-US"/>
        </w:rPr>
        <w:t>Secondly, Fischel may have found himself homeless as a result of substance use disorder. Many veterans end up homeless as a result of heavy drinking or drug abuse, which are also associated with perceived difficulties in their lives (Tsai &amp; Rosenheck, 2015). Last but not least, the veteran may have found himself homeless due to lack of social support for possible mental challenges. According to Tsai and Rosenheck, many veterans tend to suffer from post-traumatic stress disorder as a result of their encounters while on their tours. Sociological imagination, through various theories, can help understand that social forces such as issues with relationships and interactions can cause homelessness, and it also require such a perspective to help address the situation by improving connections and interactions.</w:t>
      </w:r>
    </w:p>
    <w:p w:rsidR="008667E2" w:rsidRPr="00D3316C" w:rsidRDefault="008667E2" w:rsidP="008667E2">
      <w:pPr>
        <w:pStyle w:val="Header"/>
        <w:tabs>
          <w:tab w:val="clear" w:pos="4513"/>
          <w:tab w:val="clear" w:pos="9026"/>
        </w:tabs>
        <w:spacing w:after="160" w:line="480" w:lineRule="auto"/>
        <w:rPr>
          <w:b/>
          <w:bCs/>
          <w:lang w:val="en-US"/>
        </w:rPr>
      </w:pPr>
      <w:r w:rsidRPr="00D3316C">
        <w:rPr>
          <w:b/>
          <w:bCs/>
          <w:lang w:val="en-US"/>
        </w:rPr>
        <w:t xml:space="preserve">Question Set 2: </w:t>
      </w:r>
      <w:r w:rsidR="00FC146F" w:rsidRPr="00D3316C">
        <w:rPr>
          <w:b/>
          <w:bCs/>
          <w:lang w:val="en-US"/>
        </w:rPr>
        <w:t xml:space="preserve">Culture Shock, Ethnocentrism, and Cultural Relativism </w:t>
      </w:r>
    </w:p>
    <w:p w:rsidR="00CE17D8" w:rsidRDefault="00FC146F" w:rsidP="00CE17D8">
      <w:pPr>
        <w:pStyle w:val="Header"/>
        <w:tabs>
          <w:tab w:val="clear" w:pos="4513"/>
          <w:tab w:val="clear" w:pos="9026"/>
        </w:tabs>
        <w:spacing w:after="160" w:line="480" w:lineRule="auto"/>
        <w:ind w:firstLine="567"/>
        <w:rPr>
          <w:lang w:val="en-US"/>
        </w:rPr>
      </w:pPr>
      <w:r>
        <w:rPr>
          <w:lang w:val="en-US"/>
        </w:rPr>
        <w:t xml:space="preserve">Cultural shock, cultural relativism, and ethnocentrism are some important concepts in sociology. Cultural shock is arguably the kind of surprise/shock that occurs among people who change cultural setting. Irwin (2007) defines cultural shock as the anxiety and depression </w:t>
      </w:r>
      <w:r>
        <w:rPr>
          <w:lang w:val="en-US"/>
        </w:rPr>
        <w:lastRenderedPageBreak/>
        <w:t xml:space="preserve">that people who change cultural environment tend to experience. Cultural shock </w:t>
      </w:r>
      <w:r w:rsidR="000E7A2F">
        <w:rPr>
          <w:lang w:val="en-US"/>
        </w:rPr>
        <w:t>is important for learning about self, and it also fosters understanding diversity differences, particularly those that pertain to culture, among people (Furnham, 2010). An example the feeling that foreign students experience in their early days. Ethnocentrism describes the act of using preconceptions from one’s own culture to judge another culture (Bizumic, 2014). According to Bizumic, ethnocentrism is important for understanding other people’s cultural values thus, enhancing socialization. An example would be judging another person’s customs based on own custom values. Lastly, cultural relativism describes the notion that a person’s behaviors, values and beliefs can only be understood better by referring to his or her cultur</w:t>
      </w:r>
      <w:r w:rsidR="005676B9">
        <w:rPr>
          <w:lang w:val="en-US"/>
        </w:rPr>
        <w:t>e rather than that of another person (Li, 2009). It is important for building intercultural understanding that recognizes and respect other people cultural influences on their behaviors and practices</w:t>
      </w:r>
      <w:r w:rsidR="00E07C30">
        <w:rPr>
          <w:lang w:val="en-US"/>
        </w:rPr>
        <w:t>; it promotes ethics in a multicultural society.</w:t>
      </w:r>
    </w:p>
    <w:p w:rsidR="005676B9" w:rsidRDefault="005676B9" w:rsidP="005676B9">
      <w:pPr>
        <w:pStyle w:val="Header"/>
        <w:tabs>
          <w:tab w:val="clear" w:pos="4513"/>
          <w:tab w:val="clear" w:pos="9026"/>
        </w:tabs>
        <w:spacing w:after="160" w:line="480" w:lineRule="auto"/>
        <w:rPr>
          <w:lang w:val="en-US"/>
        </w:rPr>
      </w:pPr>
    </w:p>
    <w:p w:rsidR="005676B9" w:rsidRDefault="005676B9" w:rsidP="005676B9">
      <w:pPr>
        <w:pStyle w:val="Header"/>
        <w:tabs>
          <w:tab w:val="clear" w:pos="4513"/>
          <w:tab w:val="clear" w:pos="9026"/>
        </w:tabs>
        <w:spacing w:after="160" w:line="480" w:lineRule="auto"/>
        <w:rPr>
          <w:lang w:val="en-US"/>
        </w:rPr>
      </w:pPr>
    </w:p>
    <w:p w:rsidR="005676B9" w:rsidRDefault="005676B9" w:rsidP="005676B9">
      <w:pPr>
        <w:pStyle w:val="Header"/>
        <w:tabs>
          <w:tab w:val="clear" w:pos="4513"/>
          <w:tab w:val="clear" w:pos="9026"/>
        </w:tabs>
        <w:spacing w:after="160" w:line="480" w:lineRule="auto"/>
        <w:rPr>
          <w:lang w:val="en-US"/>
        </w:rPr>
      </w:pPr>
    </w:p>
    <w:p w:rsidR="005676B9" w:rsidRDefault="005676B9" w:rsidP="005676B9">
      <w:pPr>
        <w:pStyle w:val="Header"/>
        <w:tabs>
          <w:tab w:val="clear" w:pos="4513"/>
          <w:tab w:val="clear" w:pos="9026"/>
        </w:tabs>
        <w:spacing w:after="160" w:line="480" w:lineRule="auto"/>
        <w:rPr>
          <w:lang w:val="en-US"/>
        </w:rPr>
      </w:pPr>
    </w:p>
    <w:p w:rsidR="005676B9" w:rsidRDefault="005676B9" w:rsidP="005676B9">
      <w:pPr>
        <w:pStyle w:val="Header"/>
        <w:tabs>
          <w:tab w:val="clear" w:pos="4513"/>
          <w:tab w:val="clear" w:pos="9026"/>
        </w:tabs>
        <w:spacing w:after="160" w:line="480" w:lineRule="auto"/>
        <w:rPr>
          <w:lang w:val="en-US"/>
        </w:rPr>
      </w:pPr>
    </w:p>
    <w:p w:rsidR="005676B9" w:rsidRDefault="005676B9" w:rsidP="005676B9">
      <w:pPr>
        <w:pStyle w:val="Header"/>
        <w:tabs>
          <w:tab w:val="clear" w:pos="4513"/>
          <w:tab w:val="clear" w:pos="9026"/>
        </w:tabs>
        <w:spacing w:after="160" w:line="480" w:lineRule="auto"/>
        <w:rPr>
          <w:lang w:val="en-US"/>
        </w:rPr>
      </w:pPr>
    </w:p>
    <w:p w:rsidR="005676B9" w:rsidRDefault="005676B9" w:rsidP="005676B9">
      <w:pPr>
        <w:pStyle w:val="Header"/>
        <w:tabs>
          <w:tab w:val="clear" w:pos="4513"/>
          <w:tab w:val="clear" w:pos="9026"/>
        </w:tabs>
        <w:spacing w:after="160" w:line="480" w:lineRule="auto"/>
        <w:rPr>
          <w:lang w:val="en-US"/>
        </w:rPr>
      </w:pPr>
    </w:p>
    <w:p w:rsidR="005676B9" w:rsidRDefault="005676B9" w:rsidP="005676B9">
      <w:pPr>
        <w:pStyle w:val="Header"/>
        <w:tabs>
          <w:tab w:val="clear" w:pos="4513"/>
          <w:tab w:val="clear" w:pos="9026"/>
        </w:tabs>
        <w:spacing w:after="160" w:line="480" w:lineRule="auto"/>
        <w:rPr>
          <w:lang w:val="en-US"/>
        </w:rPr>
      </w:pPr>
    </w:p>
    <w:p w:rsidR="005676B9" w:rsidRDefault="005676B9" w:rsidP="005676B9">
      <w:pPr>
        <w:pStyle w:val="Header"/>
        <w:tabs>
          <w:tab w:val="clear" w:pos="4513"/>
          <w:tab w:val="clear" w:pos="9026"/>
        </w:tabs>
        <w:spacing w:after="160" w:line="480" w:lineRule="auto"/>
        <w:rPr>
          <w:lang w:val="en-US"/>
        </w:rPr>
      </w:pPr>
    </w:p>
    <w:p w:rsidR="005676B9" w:rsidRDefault="005676B9" w:rsidP="005676B9">
      <w:pPr>
        <w:pStyle w:val="Header"/>
        <w:tabs>
          <w:tab w:val="clear" w:pos="4513"/>
          <w:tab w:val="clear" w:pos="9026"/>
        </w:tabs>
        <w:spacing w:after="160" w:line="480" w:lineRule="auto"/>
        <w:rPr>
          <w:lang w:val="en-US"/>
        </w:rPr>
      </w:pPr>
    </w:p>
    <w:p w:rsidR="005676B9" w:rsidRPr="004B6804" w:rsidRDefault="005676B9" w:rsidP="004B6804">
      <w:pPr>
        <w:pStyle w:val="Header"/>
        <w:tabs>
          <w:tab w:val="clear" w:pos="4513"/>
          <w:tab w:val="clear" w:pos="9026"/>
        </w:tabs>
        <w:spacing w:after="160" w:line="480" w:lineRule="auto"/>
        <w:jc w:val="center"/>
        <w:rPr>
          <w:lang w:val="en-US"/>
        </w:rPr>
      </w:pPr>
      <w:r w:rsidRPr="004B6804">
        <w:rPr>
          <w:lang w:val="en-US"/>
        </w:rPr>
        <w:lastRenderedPageBreak/>
        <w:t>References</w:t>
      </w:r>
    </w:p>
    <w:p w:rsidR="004B6804" w:rsidRPr="004B6804" w:rsidRDefault="004B6804" w:rsidP="005676B9">
      <w:pPr>
        <w:pStyle w:val="Header"/>
        <w:tabs>
          <w:tab w:val="clear" w:pos="4513"/>
          <w:tab w:val="clear" w:pos="9026"/>
        </w:tabs>
        <w:spacing w:after="160" w:line="480" w:lineRule="auto"/>
        <w:ind w:left="720" w:hanging="720"/>
        <w:rPr>
          <w:rFonts w:cs="Times New Roman"/>
          <w:szCs w:val="24"/>
          <w:shd w:val="clear" w:color="auto" w:fill="FFFFFF"/>
          <w:lang w:val="en-US"/>
        </w:rPr>
      </w:pPr>
      <w:r w:rsidRPr="004B6804">
        <w:rPr>
          <w:rFonts w:cs="Times New Roman"/>
          <w:szCs w:val="24"/>
          <w:shd w:val="clear" w:color="auto" w:fill="FFFFFF"/>
          <w:lang w:val="en-US"/>
        </w:rPr>
        <w:t xml:space="preserve">Bizumic, B. (2014). Who coined the concept of ethnocentrism? A brief report. </w:t>
      </w:r>
      <w:r w:rsidRPr="004B6804">
        <w:rPr>
          <w:rFonts w:cs="Times New Roman"/>
          <w:i/>
          <w:iCs/>
          <w:szCs w:val="24"/>
          <w:shd w:val="clear" w:color="auto" w:fill="FFFFFF"/>
          <w:lang w:val="en-US"/>
        </w:rPr>
        <w:t>Journal of Social and Political Psychology, 2</w:t>
      </w:r>
      <w:r w:rsidRPr="004B6804">
        <w:rPr>
          <w:rFonts w:cs="Times New Roman"/>
          <w:szCs w:val="24"/>
          <w:shd w:val="clear" w:color="auto" w:fill="FFFFFF"/>
          <w:lang w:val="en-US"/>
        </w:rPr>
        <w:t>(1).</w:t>
      </w:r>
    </w:p>
    <w:p w:rsidR="004B6804" w:rsidRPr="004B6804" w:rsidRDefault="004B6804" w:rsidP="005676B9">
      <w:pPr>
        <w:pStyle w:val="Header"/>
        <w:tabs>
          <w:tab w:val="clear" w:pos="4513"/>
          <w:tab w:val="clear" w:pos="9026"/>
        </w:tabs>
        <w:spacing w:after="160" w:line="480" w:lineRule="auto"/>
        <w:ind w:left="720" w:hanging="720"/>
        <w:rPr>
          <w:rFonts w:cs="Times New Roman"/>
          <w:szCs w:val="24"/>
          <w:shd w:val="clear" w:color="auto" w:fill="FFFFFF"/>
          <w:lang w:val="en-US"/>
        </w:rPr>
      </w:pPr>
      <w:r w:rsidRPr="004B6804">
        <w:rPr>
          <w:rFonts w:cs="Times New Roman"/>
          <w:szCs w:val="24"/>
          <w:shd w:val="clear" w:color="auto" w:fill="FFFFFF"/>
          <w:lang w:val="en-US"/>
        </w:rPr>
        <w:t>Furnham, A. (2010). Culture shock: Literature review, personal statement and relevance for the South Pacific. </w:t>
      </w:r>
      <w:r w:rsidRPr="004B6804">
        <w:rPr>
          <w:rFonts w:cs="Times New Roman"/>
          <w:i/>
          <w:iCs/>
          <w:szCs w:val="24"/>
          <w:shd w:val="clear" w:color="auto" w:fill="FFFFFF"/>
          <w:lang w:val="en-US"/>
        </w:rPr>
        <w:t>Journal of Pacific Rim Psychology</w:t>
      </w:r>
      <w:r w:rsidRPr="004B6804">
        <w:rPr>
          <w:rFonts w:cs="Times New Roman"/>
          <w:szCs w:val="24"/>
          <w:shd w:val="clear" w:color="auto" w:fill="FFFFFF"/>
          <w:lang w:val="en-US"/>
        </w:rPr>
        <w:t>, </w:t>
      </w:r>
      <w:r w:rsidRPr="004B6804">
        <w:rPr>
          <w:rFonts w:cs="Times New Roman"/>
          <w:i/>
          <w:iCs/>
          <w:szCs w:val="24"/>
          <w:shd w:val="clear" w:color="auto" w:fill="FFFFFF"/>
          <w:lang w:val="en-US"/>
        </w:rPr>
        <w:t>4</w:t>
      </w:r>
      <w:r w:rsidRPr="004B6804">
        <w:rPr>
          <w:rFonts w:cs="Times New Roman"/>
          <w:szCs w:val="24"/>
          <w:shd w:val="clear" w:color="auto" w:fill="FFFFFF"/>
          <w:lang w:val="en-US"/>
        </w:rPr>
        <w:t xml:space="preserve">(2), 87-94. </w:t>
      </w:r>
    </w:p>
    <w:p w:rsidR="004B6804" w:rsidRPr="004B6804" w:rsidRDefault="004B6804" w:rsidP="005676B9">
      <w:pPr>
        <w:pStyle w:val="Header"/>
        <w:tabs>
          <w:tab w:val="clear" w:pos="4513"/>
          <w:tab w:val="clear" w:pos="9026"/>
        </w:tabs>
        <w:spacing w:after="160" w:line="480" w:lineRule="auto"/>
        <w:ind w:left="720" w:hanging="720"/>
        <w:rPr>
          <w:rFonts w:cs="Times New Roman"/>
          <w:szCs w:val="24"/>
          <w:shd w:val="clear" w:color="auto" w:fill="FFFFFF"/>
          <w:lang w:val="en-US"/>
        </w:rPr>
      </w:pPr>
      <w:r w:rsidRPr="004B6804">
        <w:rPr>
          <w:rFonts w:cs="Times New Roman"/>
          <w:szCs w:val="24"/>
          <w:shd w:val="clear" w:color="auto" w:fill="FFFFFF"/>
          <w:lang w:val="en-US"/>
        </w:rPr>
        <w:t>Irwin, R. (2007). Culture shock: negotiating feelings in the field. </w:t>
      </w:r>
      <w:r w:rsidRPr="004B6804">
        <w:rPr>
          <w:rFonts w:cs="Times New Roman"/>
          <w:i/>
          <w:iCs/>
          <w:szCs w:val="24"/>
          <w:shd w:val="clear" w:color="auto" w:fill="FFFFFF"/>
          <w:lang w:val="en-US"/>
        </w:rPr>
        <w:t>Anthropology Matters</w:t>
      </w:r>
      <w:r w:rsidRPr="004B6804">
        <w:rPr>
          <w:rFonts w:cs="Times New Roman"/>
          <w:szCs w:val="24"/>
          <w:shd w:val="clear" w:color="auto" w:fill="FFFFFF"/>
          <w:lang w:val="en-US"/>
        </w:rPr>
        <w:t>, </w:t>
      </w:r>
      <w:r w:rsidRPr="004B6804">
        <w:rPr>
          <w:rFonts w:cs="Times New Roman"/>
          <w:i/>
          <w:iCs/>
          <w:szCs w:val="24"/>
          <w:shd w:val="clear" w:color="auto" w:fill="FFFFFF"/>
          <w:lang w:val="en-US"/>
        </w:rPr>
        <w:t>9</w:t>
      </w:r>
      <w:r w:rsidRPr="004B6804">
        <w:rPr>
          <w:rFonts w:cs="Times New Roman"/>
          <w:szCs w:val="24"/>
          <w:shd w:val="clear" w:color="auto" w:fill="FFFFFF"/>
          <w:lang w:val="en-US"/>
        </w:rPr>
        <w:t xml:space="preserve">(1). </w:t>
      </w:r>
    </w:p>
    <w:p w:rsidR="005676B9" w:rsidRPr="004B6804" w:rsidRDefault="004B6804" w:rsidP="005676B9">
      <w:pPr>
        <w:pStyle w:val="Header"/>
        <w:tabs>
          <w:tab w:val="clear" w:pos="4513"/>
          <w:tab w:val="clear" w:pos="9026"/>
        </w:tabs>
        <w:spacing w:after="160" w:line="480" w:lineRule="auto"/>
        <w:ind w:left="720" w:hanging="720"/>
        <w:rPr>
          <w:rFonts w:cs="Times New Roman"/>
          <w:szCs w:val="24"/>
          <w:shd w:val="clear" w:color="auto" w:fill="FFFFFF"/>
          <w:lang w:val="en-US"/>
        </w:rPr>
      </w:pPr>
      <w:r w:rsidRPr="004B6804">
        <w:rPr>
          <w:rFonts w:cs="Times New Roman"/>
          <w:szCs w:val="24"/>
          <w:shd w:val="clear" w:color="auto" w:fill="FFFFFF"/>
          <w:lang w:val="en-US"/>
        </w:rPr>
        <w:t>Li, X. (2006). A cultural critique of cultural relativism. In </w:t>
      </w:r>
      <w:r w:rsidRPr="004B6804">
        <w:rPr>
          <w:rFonts w:cs="Times New Roman"/>
          <w:i/>
          <w:iCs/>
          <w:szCs w:val="24"/>
          <w:shd w:val="clear" w:color="auto" w:fill="FFFFFF"/>
          <w:lang w:val="en-US"/>
        </w:rPr>
        <w:t>Ethics, Human Rights and Culture</w:t>
      </w:r>
      <w:r w:rsidRPr="004B6804">
        <w:rPr>
          <w:rFonts w:cs="Times New Roman"/>
          <w:szCs w:val="24"/>
          <w:shd w:val="clear" w:color="auto" w:fill="FFFFFF"/>
          <w:lang w:val="en-US"/>
        </w:rPr>
        <w:t> (pp. 54-72). Palgrave Macmillan, London.</w:t>
      </w:r>
    </w:p>
    <w:p w:rsidR="004B6804" w:rsidRPr="004B6804" w:rsidRDefault="004B6804" w:rsidP="004B6804">
      <w:pPr>
        <w:ind w:left="720" w:hanging="720"/>
        <w:rPr>
          <w:rFonts w:cs="Times New Roman"/>
          <w:szCs w:val="24"/>
          <w:lang w:val="en-US"/>
        </w:rPr>
      </w:pPr>
      <w:r w:rsidRPr="004B6804">
        <w:rPr>
          <w:rFonts w:cs="Times New Roman"/>
          <w:szCs w:val="24"/>
          <w:shd w:val="clear" w:color="auto" w:fill="FFFFFF"/>
          <w:lang w:val="en-US"/>
        </w:rPr>
        <w:t>Logan, J. E., Fowler, K. A., Patel, N. P., &amp; Holland, K. M. (2016). Suicide among military personnel and veterans aged 18–35 years by county—16 states. </w:t>
      </w:r>
      <w:r w:rsidRPr="004B6804">
        <w:rPr>
          <w:rFonts w:cs="Times New Roman"/>
          <w:i/>
          <w:iCs/>
          <w:szCs w:val="24"/>
          <w:shd w:val="clear" w:color="auto" w:fill="FFFFFF"/>
          <w:lang w:val="en-US"/>
        </w:rPr>
        <w:t>American journal of preventive medicine</w:t>
      </w:r>
      <w:r w:rsidRPr="004B6804">
        <w:rPr>
          <w:rFonts w:cs="Times New Roman"/>
          <w:szCs w:val="24"/>
          <w:shd w:val="clear" w:color="auto" w:fill="FFFFFF"/>
          <w:lang w:val="en-US"/>
        </w:rPr>
        <w:t>, </w:t>
      </w:r>
      <w:r w:rsidRPr="004B6804">
        <w:rPr>
          <w:rFonts w:cs="Times New Roman"/>
          <w:i/>
          <w:iCs/>
          <w:szCs w:val="24"/>
          <w:shd w:val="clear" w:color="auto" w:fill="FFFFFF"/>
          <w:lang w:val="en-US"/>
        </w:rPr>
        <w:t>51</w:t>
      </w:r>
      <w:r w:rsidRPr="004B6804">
        <w:rPr>
          <w:rFonts w:cs="Times New Roman"/>
          <w:szCs w:val="24"/>
          <w:shd w:val="clear" w:color="auto" w:fill="FFFFFF"/>
          <w:lang w:val="en-US"/>
        </w:rPr>
        <w:t>(5), S197-S208.</w:t>
      </w:r>
    </w:p>
    <w:p w:rsidR="004B6804" w:rsidRPr="004B6804" w:rsidRDefault="004B6804" w:rsidP="005676B9">
      <w:pPr>
        <w:pStyle w:val="Header"/>
        <w:tabs>
          <w:tab w:val="clear" w:pos="4513"/>
          <w:tab w:val="clear" w:pos="9026"/>
        </w:tabs>
        <w:spacing w:after="160" w:line="480" w:lineRule="auto"/>
        <w:ind w:left="720" w:hanging="720"/>
        <w:rPr>
          <w:rFonts w:cs="Times New Roman"/>
          <w:szCs w:val="24"/>
          <w:lang w:val="en-US"/>
        </w:rPr>
      </w:pPr>
      <w:r w:rsidRPr="004B6804">
        <w:rPr>
          <w:rFonts w:cs="Times New Roman"/>
          <w:szCs w:val="24"/>
          <w:shd w:val="clear" w:color="auto" w:fill="FFFFFF"/>
          <w:lang w:val="en-US"/>
        </w:rPr>
        <w:t>Tsai, J., &amp; Rosenheck, R. A. (2015). Risk factors for homelessness among US veterans. </w:t>
      </w:r>
      <w:r w:rsidRPr="004B6804">
        <w:rPr>
          <w:rFonts w:cs="Times New Roman"/>
          <w:i/>
          <w:iCs/>
          <w:szCs w:val="24"/>
          <w:shd w:val="clear" w:color="auto" w:fill="FFFFFF"/>
          <w:lang w:val="en-US"/>
        </w:rPr>
        <w:t>Epidemiologic Reviews</w:t>
      </w:r>
      <w:r w:rsidRPr="004B6804">
        <w:rPr>
          <w:rFonts w:cs="Times New Roman"/>
          <w:szCs w:val="24"/>
          <w:shd w:val="clear" w:color="auto" w:fill="FFFFFF"/>
          <w:lang w:val="en-US"/>
        </w:rPr>
        <w:t>, </w:t>
      </w:r>
      <w:r w:rsidRPr="004B6804">
        <w:rPr>
          <w:rFonts w:cs="Times New Roman"/>
          <w:i/>
          <w:iCs/>
          <w:szCs w:val="24"/>
          <w:shd w:val="clear" w:color="auto" w:fill="FFFFFF"/>
          <w:lang w:val="en-US"/>
        </w:rPr>
        <w:t>37</w:t>
      </w:r>
      <w:r w:rsidRPr="004B6804">
        <w:rPr>
          <w:rFonts w:cs="Times New Roman"/>
          <w:szCs w:val="24"/>
          <w:shd w:val="clear" w:color="auto" w:fill="FFFFFF"/>
          <w:lang w:val="en-US"/>
        </w:rPr>
        <w:t>(1), 177-195.</w:t>
      </w:r>
    </w:p>
    <w:sectPr w:rsidR="004B6804" w:rsidRPr="004B6804" w:rsidSect="003C191F">
      <w:headerReference w:type="default" r:id="rId6"/>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52F" w:rsidRDefault="00AB752F" w:rsidP="003C191F">
      <w:pPr>
        <w:spacing w:after="0" w:line="240" w:lineRule="auto"/>
      </w:pPr>
      <w:r>
        <w:separator/>
      </w:r>
    </w:p>
  </w:endnote>
  <w:endnote w:type="continuationSeparator" w:id="1">
    <w:p w:rsidR="00AB752F" w:rsidRDefault="00AB752F" w:rsidP="003C19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52F" w:rsidRDefault="00AB752F" w:rsidP="003C191F">
      <w:pPr>
        <w:spacing w:after="0" w:line="240" w:lineRule="auto"/>
      </w:pPr>
      <w:r>
        <w:separator/>
      </w:r>
    </w:p>
  </w:footnote>
  <w:footnote w:type="continuationSeparator" w:id="1">
    <w:p w:rsidR="00AB752F" w:rsidRDefault="00AB752F" w:rsidP="003C19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91F" w:rsidRDefault="003C191F">
    <w:pPr>
      <w:pStyle w:val="Header"/>
      <w:jc w:val="right"/>
    </w:pPr>
    <w:r>
      <w:t xml:space="preserve">SOCIOLOGICAL IMAGINATION </w:t>
    </w:r>
    <w:r>
      <w:tab/>
    </w:r>
    <w:r>
      <w:tab/>
    </w:r>
    <w:sdt>
      <w:sdtPr>
        <w:id w:val="179015073"/>
        <w:docPartObj>
          <w:docPartGallery w:val="Page Numbers (Top of Page)"/>
          <w:docPartUnique/>
        </w:docPartObj>
      </w:sdtPr>
      <w:sdtEndPr>
        <w:rPr>
          <w:noProof/>
        </w:rPr>
      </w:sdtEndPr>
      <w:sdtContent>
        <w:r w:rsidR="00D75873">
          <w:fldChar w:fldCharType="begin"/>
        </w:r>
        <w:r>
          <w:instrText xml:space="preserve"> PAGE   \* MERGEFORMAT </w:instrText>
        </w:r>
        <w:r w:rsidR="00D75873">
          <w:fldChar w:fldCharType="separate"/>
        </w:r>
        <w:r w:rsidR="00DC4879">
          <w:rPr>
            <w:noProof/>
          </w:rPr>
          <w:t>4</w:t>
        </w:r>
        <w:r w:rsidR="00D75873">
          <w:rPr>
            <w:noProof/>
          </w:rPr>
          <w:fldChar w:fldCharType="end"/>
        </w:r>
      </w:sdtContent>
    </w:sdt>
  </w:p>
  <w:p w:rsidR="003C191F" w:rsidRDefault="003C19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91F" w:rsidRDefault="003C191F">
    <w:pPr>
      <w:pStyle w:val="Header"/>
      <w:jc w:val="right"/>
    </w:pPr>
    <w:r>
      <w:t>Running head: SOCIOLOGICAL IMAGINATION</w:t>
    </w:r>
    <w:r>
      <w:tab/>
    </w:r>
    <w:sdt>
      <w:sdtPr>
        <w:id w:val="-288814910"/>
        <w:docPartObj>
          <w:docPartGallery w:val="Page Numbers (Top of Page)"/>
          <w:docPartUnique/>
        </w:docPartObj>
      </w:sdtPr>
      <w:sdtEndPr>
        <w:rPr>
          <w:noProof/>
        </w:rPr>
      </w:sdtEndPr>
      <w:sdtContent>
        <w:r w:rsidR="00D75873">
          <w:fldChar w:fldCharType="begin"/>
        </w:r>
        <w:r>
          <w:instrText xml:space="preserve"> PAGE   \* MERGEFORMAT </w:instrText>
        </w:r>
        <w:r w:rsidR="00D75873">
          <w:fldChar w:fldCharType="separate"/>
        </w:r>
        <w:r w:rsidR="00DC4879">
          <w:rPr>
            <w:noProof/>
          </w:rPr>
          <w:t>1</w:t>
        </w:r>
        <w:r w:rsidR="00D75873">
          <w:rPr>
            <w:noProof/>
          </w:rPr>
          <w:fldChar w:fldCharType="end"/>
        </w:r>
      </w:sdtContent>
    </w:sdt>
  </w:p>
  <w:p w:rsidR="003C191F" w:rsidRDefault="003C191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85284"/>
    <w:rsid w:val="000E7A2F"/>
    <w:rsid w:val="0016098D"/>
    <w:rsid w:val="002937D6"/>
    <w:rsid w:val="002C45EA"/>
    <w:rsid w:val="003C191F"/>
    <w:rsid w:val="004B6804"/>
    <w:rsid w:val="005676B9"/>
    <w:rsid w:val="00664FD8"/>
    <w:rsid w:val="008667E2"/>
    <w:rsid w:val="00876BB0"/>
    <w:rsid w:val="00885284"/>
    <w:rsid w:val="00AB752F"/>
    <w:rsid w:val="00BA6FAC"/>
    <w:rsid w:val="00CE17D8"/>
    <w:rsid w:val="00D3316C"/>
    <w:rsid w:val="00D61554"/>
    <w:rsid w:val="00D75873"/>
    <w:rsid w:val="00DC4879"/>
    <w:rsid w:val="00E07C30"/>
    <w:rsid w:val="00FC146F"/>
    <w:rsid w:val="00FC4B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GB"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8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9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191F"/>
  </w:style>
  <w:style w:type="paragraph" w:styleId="Footer">
    <w:name w:val="footer"/>
    <w:basedOn w:val="Normal"/>
    <w:link w:val="FooterChar"/>
    <w:uiPriority w:val="99"/>
    <w:unhideWhenUsed/>
    <w:rsid w:val="003C19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191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ACHACHA</dc:creator>
  <cp:lastModifiedBy>klish</cp:lastModifiedBy>
  <cp:revision>2</cp:revision>
  <dcterms:created xsi:type="dcterms:W3CDTF">2020-01-31T11:16:00Z</dcterms:created>
  <dcterms:modified xsi:type="dcterms:W3CDTF">2020-01-31T11:16:00Z</dcterms:modified>
</cp:coreProperties>
</file>