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6A" w:rsidRPr="00E405C6" w:rsidRDefault="00B512F4" w:rsidP="00731F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05C6">
        <w:rPr>
          <w:rFonts w:ascii="Times New Roman" w:hAnsi="Times New Roman" w:cs="Times New Roman"/>
          <w:b/>
          <w:sz w:val="24"/>
          <w:szCs w:val="24"/>
        </w:rPr>
        <w:t>Literature</w:t>
      </w:r>
      <w:r w:rsidR="006B2717" w:rsidRPr="00E405C6">
        <w:rPr>
          <w:rFonts w:ascii="Times New Roman" w:hAnsi="Times New Roman" w:cs="Times New Roman"/>
          <w:b/>
          <w:sz w:val="24"/>
          <w:szCs w:val="24"/>
        </w:rPr>
        <w:t xml:space="preserve"> Evaluation Table</w:t>
      </w:r>
    </w:p>
    <w:p w:rsidR="002D0A8A" w:rsidRPr="00E405C6" w:rsidRDefault="002D0A8A" w:rsidP="002D0A8A">
      <w:pPr>
        <w:rPr>
          <w:rFonts w:ascii="Times New Roman" w:hAnsi="Times New Roman" w:cs="Times New Roman"/>
          <w:b/>
          <w:sz w:val="24"/>
          <w:szCs w:val="24"/>
        </w:rPr>
      </w:pPr>
      <w:r w:rsidRPr="00E405C6">
        <w:rPr>
          <w:rFonts w:ascii="Times New Roman" w:hAnsi="Times New Roman" w:cs="Times New Roman"/>
          <w:b/>
          <w:sz w:val="24"/>
          <w:szCs w:val="24"/>
        </w:rPr>
        <w:t>Student Name:</w:t>
      </w:r>
    </w:p>
    <w:p w:rsidR="002D0A8A" w:rsidRPr="00E405C6" w:rsidRDefault="002D0A8A" w:rsidP="002D0A8A">
      <w:pPr>
        <w:rPr>
          <w:rFonts w:ascii="Times New Roman" w:hAnsi="Times New Roman" w:cs="Times New Roman"/>
          <w:b/>
          <w:sz w:val="24"/>
          <w:szCs w:val="24"/>
        </w:rPr>
      </w:pPr>
      <w:r w:rsidRPr="00E405C6">
        <w:rPr>
          <w:rFonts w:ascii="Times New Roman" w:hAnsi="Times New Roman" w:cs="Times New Roman"/>
          <w:b/>
          <w:sz w:val="24"/>
          <w:szCs w:val="24"/>
        </w:rPr>
        <w:t>Change Topic (2-3 sentences):</w:t>
      </w:r>
    </w:p>
    <w:p w:rsidR="002D0A8A" w:rsidRPr="00E405C6" w:rsidRDefault="002D0A8A" w:rsidP="002D0A8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165"/>
        <w:gridCol w:w="1710"/>
        <w:gridCol w:w="1980"/>
        <w:gridCol w:w="2160"/>
        <w:gridCol w:w="2335"/>
      </w:tblGrid>
      <w:tr w:rsidR="00145E5F" w:rsidRPr="00E405C6" w:rsidTr="002D48D0">
        <w:trPr>
          <w:trHeight w:val="537"/>
        </w:trPr>
        <w:tc>
          <w:tcPr>
            <w:tcW w:w="1165" w:type="dxa"/>
            <w:shd w:val="clear" w:color="auto" w:fill="B2A1C7" w:themeFill="accent4" w:themeFillTint="99"/>
            <w:vAlign w:val="center"/>
          </w:tcPr>
          <w:p w:rsidR="00145E5F" w:rsidRPr="00E405C6" w:rsidRDefault="00145E5F" w:rsidP="0016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1710" w:type="dxa"/>
            <w:shd w:val="clear" w:color="auto" w:fill="B2A1C7" w:themeFill="accent4" w:themeFillTint="99"/>
            <w:vAlign w:val="center"/>
          </w:tcPr>
          <w:p w:rsidR="00145E5F" w:rsidRPr="00E405C6" w:rsidRDefault="00145E5F" w:rsidP="0016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>Article 1</w:t>
            </w:r>
          </w:p>
        </w:tc>
        <w:tc>
          <w:tcPr>
            <w:tcW w:w="1980" w:type="dxa"/>
            <w:shd w:val="clear" w:color="auto" w:fill="B2A1C7" w:themeFill="accent4" w:themeFillTint="99"/>
            <w:vAlign w:val="center"/>
          </w:tcPr>
          <w:p w:rsidR="00145E5F" w:rsidRPr="00E405C6" w:rsidRDefault="00145E5F" w:rsidP="0016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>Article 2</w:t>
            </w:r>
          </w:p>
        </w:tc>
        <w:tc>
          <w:tcPr>
            <w:tcW w:w="2160" w:type="dxa"/>
            <w:shd w:val="clear" w:color="auto" w:fill="B2A1C7" w:themeFill="accent4" w:themeFillTint="99"/>
            <w:vAlign w:val="center"/>
          </w:tcPr>
          <w:p w:rsidR="00145E5F" w:rsidRPr="00E405C6" w:rsidRDefault="00145E5F" w:rsidP="0016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>Article 3</w:t>
            </w:r>
          </w:p>
        </w:tc>
        <w:tc>
          <w:tcPr>
            <w:tcW w:w="2335" w:type="dxa"/>
            <w:shd w:val="clear" w:color="auto" w:fill="B2A1C7" w:themeFill="accent4" w:themeFillTint="99"/>
            <w:vAlign w:val="center"/>
          </w:tcPr>
          <w:p w:rsidR="00145E5F" w:rsidRPr="00E405C6" w:rsidRDefault="00145E5F" w:rsidP="0016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>Article 4</w:t>
            </w:r>
          </w:p>
        </w:tc>
      </w:tr>
      <w:tr w:rsidR="00145E5F" w:rsidRPr="00E405C6" w:rsidTr="002D48D0">
        <w:trPr>
          <w:trHeight w:val="537"/>
        </w:trPr>
        <w:tc>
          <w:tcPr>
            <w:tcW w:w="1165" w:type="dxa"/>
          </w:tcPr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Author, Journal (Peer-Reviewed), and </w:t>
            </w:r>
          </w:p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>Permalink or Working Link to Access Article</w:t>
            </w:r>
          </w:p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45E5F" w:rsidRPr="00E405C6" w:rsidRDefault="00145E5F" w:rsidP="0073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E5F" w:rsidRPr="00E405C6" w:rsidRDefault="00DC7240" w:rsidP="00DC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Elaine R. Flynn,</w:t>
            </w:r>
          </w:p>
          <w:p w:rsidR="00DC7240" w:rsidRPr="00E405C6" w:rsidRDefault="00DC7240" w:rsidP="00DC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American Journal of Infection Control</w:t>
            </w:r>
          </w:p>
          <w:p w:rsidR="00DC7240" w:rsidRPr="00E405C6" w:rsidRDefault="00DC7240" w:rsidP="00DC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URL: </w:t>
            </w:r>
            <w:hyperlink r:id="rId12" w:history="1">
              <w:r w:rsidRPr="00E405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https://www.ajicjournal.org/article/S0196-6553(16)30052-9/fulltext</w:t>
              </w:r>
            </w:hyperlink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C7240" w:rsidRPr="00E405C6" w:rsidRDefault="00DC7240" w:rsidP="00CE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5E5F" w:rsidRPr="00E405C6" w:rsidRDefault="00091B0F" w:rsidP="000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AnoushaKrishnn, Khushnam Irani, Ramyasuda Swaminathan, Peter Boan. </w:t>
            </w:r>
          </w:p>
          <w:p w:rsidR="00091B0F" w:rsidRPr="00E405C6" w:rsidRDefault="00091B0F" w:rsidP="000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Link: </w:t>
            </w:r>
            <w:hyperlink r:id="rId13" w:history="1">
              <w:r w:rsidRPr="00E405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https://www.tandfonline.com/doi/full/10.1080/1120009X.2019.1595894?scroll=top&amp;needAccess=true</w:t>
              </w:r>
            </w:hyperlink>
          </w:p>
          <w:p w:rsidR="00091B0F" w:rsidRPr="00E405C6" w:rsidRDefault="00091B0F" w:rsidP="0009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0F" w:rsidRPr="00E405C6" w:rsidRDefault="00091B0F" w:rsidP="0009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45E5F" w:rsidRPr="00E405C6" w:rsidRDefault="002D48D0" w:rsidP="002D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Moi Lin Ling, corresponding author Anucha Apisarnthanarak, Namita Jaggi, Glenys Harrington, Keita Morikane, Le Thi Anh Thu, Patricia Ching, Victoria Villanueva, ZhiyongZong, Jae Sim Jeong, and Chun-Ming Lee</w:t>
            </w:r>
          </w:p>
          <w:p w:rsidR="002D48D0" w:rsidRPr="00E405C6" w:rsidRDefault="00FA7E8E" w:rsidP="002D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Link: </w:t>
            </w:r>
            <w:hyperlink r:id="rId14" w:history="1">
              <w:r w:rsidRPr="00E405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https://www.ncbi.nlm.nih.gov/pmc/articles/PMC4857414/</w:t>
              </w:r>
            </w:hyperlink>
          </w:p>
        </w:tc>
        <w:tc>
          <w:tcPr>
            <w:tcW w:w="2335" w:type="dxa"/>
          </w:tcPr>
          <w:p w:rsidR="00145E5F" w:rsidRPr="00E405C6" w:rsidRDefault="006D3FF7" w:rsidP="008B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Neu AM, Richardson T, Lawlor J, Stuart J, Newland J, McAfee N, Warady BA; SCOPE Collaborative Participants.</w:t>
            </w:r>
          </w:p>
          <w:p w:rsidR="006D3FF7" w:rsidRPr="00E405C6" w:rsidRDefault="006D3FF7" w:rsidP="008B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FF7" w:rsidRPr="00E405C6" w:rsidRDefault="006D3FF7" w:rsidP="008B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Link: </w:t>
            </w:r>
            <w:hyperlink r:id="rId15" w:history="1">
              <w:r w:rsidR="00FD7184" w:rsidRPr="00E405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https://booksc.xyz/ireader/53270213</w:t>
              </w:r>
            </w:hyperlink>
          </w:p>
        </w:tc>
      </w:tr>
      <w:tr w:rsidR="00145E5F" w:rsidRPr="00E405C6" w:rsidTr="002D48D0">
        <w:trPr>
          <w:trHeight w:val="537"/>
        </w:trPr>
        <w:tc>
          <w:tcPr>
            <w:tcW w:w="1165" w:type="dxa"/>
          </w:tcPr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>Article Title and Year Published</w:t>
            </w:r>
          </w:p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C7240" w:rsidRPr="00E405C6" w:rsidRDefault="00DC7240" w:rsidP="00CE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We're Not in ICU Anymore: Long-term Care and Dialysis Units Collaborate on Process Improvement to Reduce Central Line-Associated Bloodstream Infections. </w:t>
            </w:r>
          </w:p>
          <w:p w:rsidR="00145E5F" w:rsidRPr="00E405C6" w:rsidRDefault="00DC7240" w:rsidP="00CE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0" w:type="dxa"/>
          </w:tcPr>
          <w:p w:rsidR="00145E5F" w:rsidRPr="00E405C6" w:rsidRDefault="00CB071B" w:rsidP="00CE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A retrospective study of tunnelledhaemodialysis central line-associated bloodstream infections</w:t>
            </w:r>
          </w:p>
          <w:p w:rsidR="00CB071B" w:rsidRPr="00E405C6" w:rsidRDefault="00CB071B" w:rsidP="00CE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71B" w:rsidRPr="00E405C6" w:rsidRDefault="00CB071B" w:rsidP="00CE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2160" w:type="dxa"/>
          </w:tcPr>
          <w:p w:rsidR="00145E5F" w:rsidRPr="00E405C6" w:rsidRDefault="00FA7E8E" w:rsidP="00FA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APSIC guide for prevention of Central Line Associated Bloodstream Infections (CLABSI)</w:t>
            </w:r>
          </w:p>
          <w:p w:rsidR="00FA7E8E" w:rsidRPr="00E405C6" w:rsidRDefault="00FA7E8E" w:rsidP="00FA7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8E" w:rsidRPr="00E405C6" w:rsidRDefault="00FA7E8E" w:rsidP="00FA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35" w:type="dxa"/>
          </w:tcPr>
          <w:p w:rsidR="00FD7184" w:rsidRPr="00E405C6" w:rsidRDefault="00FD7184" w:rsidP="00FD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Implementation of standardized follow-up care significantly reduces peritonitis in children on chronic peritoneal dialysis. </w:t>
            </w:r>
          </w:p>
          <w:p w:rsidR="00FD7184" w:rsidRPr="00E405C6" w:rsidRDefault="00FD7184" w:rsidP="00FD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84" w:rsidRPr="00E405C6" w:rsidRDefault="00FD7184" w:rsidP="00F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45E5F" w:rsidRPr="00E405C6" w:rsidTr="002D48D0">
        <w:trPr>
          <w:trHeight w:val="537"/>
        </w:trPr>
        <w:tc>
          <w:tcPr>
            <w:tcW w:w="1165" w:type="dxa"/>
          </w:tcPr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>Research Questions (Qualitative)/Hyp</w:t>
            </w: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othesis (Quantitative), and Purposes/Aim of Study</w:t>
            </w:r>
          </w:p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45E5F" w:rsidRPr="00E405C6" w:rsidRDefault="002C5601" w:rsidP="00DC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research question in this study is whether the collaboration </w:t>
            </w:r>
            <w:r w:rsidRPr="00E40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between Dialysis Units Collaborate and Long-term Care will reduce case of Reduce Central Line-Associated Bloodstream Infections. </w:t>
            </w:r>
          </w:p>
          <w:p w:rsidR="002C5601" w:rsidRPr="00E405C6" w:rsidRDefault="002C5601" w:rsidP="00DC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The purpose of the study is to establish the impact of the coloration between Dialysis Units Collaborate and Long-term Care in the prevention of Central Line-Associated Bloodstream Infections. </w:t>
            </w:r>
          </w:p>
        </w:tc>
        <w:tc>
          <w:tcPr>
            <w:tcW w:w="1980" w:type="dxa"/>
          </w:tcPr>
          <w:p w:rsidR="00145E5F" w:rsidRPr="00E405C6" w:rsidRDefault="00F041F0" w:rsidP="005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purpose of the study is to compare </w:t>
            </w:r>
            <w:r w:rsidRPr="00E405C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retrospective audit of </w:t>
            </w:r>
            <w:r w:rsidRPr="00E405C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tunnelledhaemodialysis CLABSI  from 2010 to 2014</w:t>
            </w:r>
          </w:p>
        </w:tc>
        <w:tc>
          <w:tcPr>
            <w:tcW w:w="2160" w:type="dxa"/>
          </w:tcPr>
          <w:p w:rsidR="00145E5F" w:rsidRPr="00E405C6" w:rsidRDefault="00CD019F" w:rsidP="00CD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purpose of this study is to summarize the </w:t>
            </w:r>
            <w:r w:rsidR="001E297C"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APSIC guide for CLBSI </w:t>
            </w:r>
          </w:p>
        </w:tc>
        <w:tc>
          <w:tcPr>
            <w:tcW w:w="2335" w:type="dxa"/>
          </w:tcPr>
          <w:p w:rsidR="00145E5F" w:rsidRPr="00E405C6" w:rsidRDefault="00A051F7" w:rsidP="00FD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It is hypothesized that implementing </w:t>
            </w:r>
            <w:r w:rsidR="00CB7877"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standardized sequel care effectively decrease peritonitis in </w:t>
            </w:r>
            <w:r w:rsidR="00CB7877" w:rsidRPr="00E40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kids </w:t>
            </w:r>
            <w:r w:rsidR="00786394" w:rsidRPr="00E405C6">
              <w:rPr>
                <w:rFonts w:ascii="Times New Roman" w:hAnsi="Times New Roman" w:cs="Times New Roman"/>
                <w:sz w:val="24"/>
                <w:szCs w:val="24"/>
              </w:rPr>
              <w:t>on chronic peritoneal dialysis</w:t>
            </w:r>
          </w:p>
          <w:p w:rsidR="00A051F7" w:rsidRPr="00E405C6" w:rsidRDefault="00A051F7" w:rsidP="00FD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F7" w:rsidRPr="00E405C6" w:rsidRDefault="00A051F7" w:rsidP="00FD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F7" w:rsidRPr="00E405C6" w:rsidRDefault="00A051F7" w:rsidP="00FD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F7" w:rsidRPr="00E405C6" w:rsidRDefault="00A051F7" w:rsidP="00FD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5F" w:rsidRPr="00E405C6" w:rsidTr="002D48D0">
        <w:trPr>
          <w:trHeight w:val="537"/>
        </w:trPr>
        <w:tc>
          <w:tcPr>
            <w:tcW w:w="1165" w:type="dxa"/>
          </w:tcPr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Design (Type of Quantitative, or Type of Qualitative)</w:t>
            </w:r>
          </w:p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45E5F" w:rsidRPr="00E405C6" w:rsidRDefault="002C5601" w:rsidP="002C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Quantitative design </w:t>
            </w:r>
          </w:p>
        </w:tc>
        <w:tc>
          <w:tcPr>
            <w:tcW w:w="1980" w:type="dxa"/>
          </w:tcPr>
          <w:p w:rsidR="00145E5F" w:rsidRPr="00E405C6" w:rsidRDefault="00305BFE" w:rsidP="00CE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Qua</w:t>
            </w:r>
            <w:r w:rsidR="001E297C" w:rsidRPr="00E405C6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itative Design </w:t>
            </w:r>
          </w:p>
        </w:tc>
        <w:tc>
          <w:tcPr>
            <w:tcW w:w="2160" w:type="dxa"/>
          </w:tcPr>
          <w:p w:rsidR="00145E5F" w:rsidRPr="00E405C6" w:rsidRDefault="001E297C" w:rsidP="00CE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Qualitative </w:t>
            </w:r>
            <w:r w:rsidR="003B07E0" w:rsidRPr="00E405C6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</w:p>
        </w:tc>
        <w:tc>
          <w:tcPr>
            <w:tcW w:w="2335" w:type="dxa"/>
          </w:tcPr>
          <w:p w:rsidR="00145E5F" w:rsidRPr="00E405C6" w:rsidRDefault="00786394" w:rsidP="0078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Qualitative design </w:t>
            </w:r>
          </w:p>
        </w:tc>
      </w:tr>
      <w:tr w:rsidR="00145E5F" w:rsidRPr="00E405C6" w:rsidTr="002D48D0">
        <w:trPr>
          <w:trHeight w:val="537"/>
        </w:trPr>
        <w:tc>
          <w:tcPr>
            <w:tcW w:w="1165" w:type="dxa"/>
          </w:tcPr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>Setting/Sample</w:t>
            </w:r>
          </w:p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45E5F" w:rsidRPr="00E405C6" w:rsidRDefault="002C5601" w:rsidP="002C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The sample entailed key stakeholders, outpatients infusion centers </w:t>
            </w:r>
          </w:p>
        </w:tc>
        <w:tc>
          <w:tcPr>
            <w:tcW w:w="1980" w:type="dxa"/>
          </w:tcPr>
          <w:p w:rsidR="00145E5F" w:rsidRPr="00E405C6" w:rsidRDefault="00305BFE" w:rsidP="00CE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Australian cent</w:t>
            </w:r>
            <w:r w:rsidR="00613416" w:rsidRPr="00E405C6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2160" w:type="dxa"/>
          </w:tcPr>
          <w:p w:rsidR="00145E5F" w:rsidRPr="00E405C6" w:rsidRDefault="002711BD" w:rsidP="002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Asia Pacific Society of Infection Control</w:t>
            </w:r>
          </w:p>
        </w:tc>
        <w:tc>
          <w:tcPr>
            <w:tcW w:w="2335" w:type="dxa"/>
          </w:tcPr>
          <w:p w:rsidR="00145E5F" w:rsidRPr="00E405C6" w:rsidRDefault="0065005E" w:rsidP="003B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Standardizing Care to improve Outcomes in Pediatric End settings </w:t>
            </w:r>
          </w:p>
          <w:p w:rsidR="0065005E" w:rsidRPr="00E405C6" w:rsidRDefault="0065005E" w:rsidP="003B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Participants: children </w:t>
            </w:r>
          </w:p>
        </w:tc>
      </w:tr>
      <w:tr w:rsidR="00145E5F" w:rsidRPr="00E405C6" w:rsidTr="002D48D0">
        <w:trPr>
          <w:trHeight w:val="537"/>
        </w:trPr>
        <w:tc>
          <w:tcPr>
            <w:tcW w:w="1165" w:type="dxa"/>
          </w:tcPr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>Methods: Intervention/Instruments</w:t>
            </w:r>
          </w:p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45E5F" w:rsidRPr="00E405C6" w:rsidRDefault="002C5601" w:rsidP="002C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Analysis of the key causes of Central Line-Associated Bloodstream Infections </w:t>
            </w:r>
            <w:r w:rsidRPr="00E40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among the patients </w:t>
            </w:r>
          </w:p>
        </w:tc>
        <w:tc>
          <w:tcPr>
            <w:tcW w:w="1980" w:type="dxa"/>
          </w:tcPr>
          <w:p w:rsidR="00145E5F" w:rsidRPr="00E405C6" w:rsidRDefault="00613416" w:rsidP="0061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Retrospective study </w:t>
            </w:r>
          </w:p>
        </w:tc>
        <w:tc>
          <w:tcPr>
            <w:tcW w:w="2160" w:type="dxa"/>
          </w:tcPr>
          <w:p w:rsidR="00145E5F" w:rsidRPr="00E405C6" w:rsidRDefault="00EE020D" w:rsidP="002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711BD" w:rsidRPr="00E405C6">
              <w:rPr>
                <w:rFonts w:ascii="Times New Roman" w:hAnsi="Times New Roman" w:cs="Times New Roman"/>
                <w:sz w:val="24"/>
                <w:szCs w:val="24"/>
              </w:rPr>
              <w:t>iterature Review and Analysis</w:t>
            </w:r>
          </w:p>
        </w:tc>
        <w:tc>
          <w:tcPr>
            <w:tcW w:w="2335" w:type="dxa"/>
          </w:tcPr>
          <w:p w:rsidR="00145E5F" w:rsidRPr="00E405C6" w:rsidRDefault="00301785" w:rsidP="0030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The research instrument included evaluation of 24 scope centers </w:t>
            </w:r>
          </w:p>
        </w:tc>
      </w:tr>
      <w:tr w:rsidR="00145E5F" w:rsidRPr="00E405C6" w:rsidTr="002D48D0">
        <w:trPr>
          <w:trHeight w:val="537"/>
        </w:trPr>
        <w:tc>
          <w:tcPr>
            <w:tcW w:w="1165" w:type="dxa"/>
          </w:tcPr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Analysis</w:t>
            </w:r>
          </w:p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45E5F" w:rsidRPr="00E405C6" w:rsidRDefault="002C5601" w:rsidP="002C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The intervention meant to identify the knowledge deficit among the patients and how the collaboration of various players could help solve the issue. </w:t>
            </w:r>
          </w:p>
        </w:tc>
        <w:tc>
          <w:tcPr>
            <w:tcW w:w="1980" w:type="dxa"/>
          </w:tcPr>
          <w:p w:rsidR="00145E5F" w:rsidRPr="00E405C6" w:rsidRDefault="008C2846" w:rsidP="008C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This introspective study is important in identifying the common  </w:t>
            </w:r>
            <w:r w:rsidR="007F1F7F" w:rsidRPr="00E405C6">
              <w:rPr>
                <w:rFonts w:ascii="Times New Roman" w:hAnsi="Times New Roman" w:cs="Times New Roman"/>
                <w:sz w:val="24"/>
                <w:szCs w:val="24"/>
              </w:rPr>
              <w:t>pathogens that lead to CLABSI</w:t>
            </w:r>
          </w:p>
        </w:tc>
        <w:tc>
          <w:tcPr>
            <w:tcW w:w="2160" w:type="dxa"/>
          </w:tcPr>
          <w:p w:rsidR="00145E5F" w:rsidRPr="00E405C6" w:rsidRDefault="00EE020D" w:rsidP="00EE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The study analyzes the approaches of preventing CLABSI</w:t>
            </w:r>
          </w:p>
        </w:tc>
        <w:tc>
          <w:tcPr>
            <w:tcW w:w="2335" w:type="dxa"/>
          </w:tcPr>
          <w:p w:rsidR="00145E5F" w:rsidRPr="00E405C6" w:rsidRDefault="00754EAD" w:rsidP="0075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The study evaluates the importance of standardized follow-up among the participants </w:t>
            </w:r>
          </w:p>
        </w:tc>
      </w:tr>
      <w:tr w:rsidR="00145E5F" w:rsidRPr="00E405C6" w:rsidTr="002D48D0">
        <w:trPr>
          <w:trHeight w:val="537"/>
        </w:trPr>
        <w:tc>
          <w:tcPr>
            <w:tcW w:w="1165" w:type="dxa"/>
          </w:tcPr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>Key Findings</w:t>
            </w:r>
          </w:p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45E5F" w:rsidRPr="00E405C6" w:rsidRDefault="002C5601" w:rsidP="002C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The CLAB</w:t>
            </w:r>
            <w:r w:rsidR="00091B0F" w:rsidRPr="00E405C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091B0F"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Team raised awareness regarding EBP, augmented peer-to-peer relations and augmented the unit’s possession of CL maintenance and care </w:t>
            </w:r>
          </w:p>
        </w:tc>
        <w:tc>
          <w:tcPr>
            <w:tcW w:w="1980" w:type="dxa"/>
          </w:tcPr>
          <w:p w:rsidR="007F1F7F" w:rsidRPr="00E405C6" w:rsidRDefault="007F1F7F" w:rsidP="00CE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Out of 674 catheter inserts, </w:t>
            </w:r>
            <w:r w:rsidR="008C5B06"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70 CLBSI developed in 55 respondents at a frequency of 0.95 in 100 catheter days </w:t>
            </w:r>
          </w:p>
        </w:tc>
        <w:tc>
          <w:tcPr>
            <w:tcW w:w="2160" w:type="dxa"/>
          </w:tcPr>
          <w:p w:rsidR="00146954" w:rsidRPr="00E405C6" w:rsidRDefault="00146954" w:rsidP="006C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Nursing of progress with time with </w:t>
            </w:r>
            <w:r w:rsidR="00E00A37" w:rsidRPr="00E405C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pt </w:t>
            </w:r>
            <w:r w:rsidR="00E00A37" w:rsidRPr="00E405C6">
              <w:rPr>
                <w:rFonts w:ascii="Times New Roman" w:hAnsi="Times New Roman" w:cs="Times New Roman"/>
                <w:sz w:val="24"/>
                <w:szCs w:val="24"/>
              </w:rPr>
              <w:t>feedback to stakeholders is the primary element of making sure that best prac</w:t>
            </w:r>
            <w:r w:rsidR="007B0888" w:rsidRPr="00E405C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00A37" w:rsidRPr="00E405C6">
              <w:rPr>
                <w:rFonts w:ascii="Times New Roman" w:hAnsi="Times New Roman" w:cs="Times New Roman"/>
                <w:sz w:val="24"/>
                <w:szCs w:val="24"/>
              </w:rPr>
              <w:t>ices are implemented</w:t>
            </w:r>
          </w:p>
        </w:tc>
        <w:tc>
          <w:tcPr>
            <w:tcW w:w="2335" w:type="dxa"/>
          </w:tcPr>
          <w:p w:rsidR="00145E5F" w:rsidRPr="00E405C6" w:rsidRDefault="00754EAD" w:rsidP="0075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The findings reported that the probability of </w:t>
            </w:r>
            <w:r w:rsidR="00AA5669"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complying with standardized follow-up practices increased significantly </w:t>
            </w:r>
          </w:p>
        </w:tc>
      </w:tr>
      <w:tr w:rsidR="00145E5F" w:rsidRPr="00E405C6" w:rsidTr="002D48D0">
        <w:trPr>
          <w:trHeight w:val="537"/>
        </w:trPr>
        <w:tc>
          <w:tcPr>
            <w:tcW w:w="1165" w:type="dxa"/>
          </w:tcPr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>Recommendations</w:t>
            </w:r>
          </w:p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45E5F" w:rsidRPr="00E405C6" w:rsidRDefault="00091B0F" w:rsidP="000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It is recommended that patient education is important in the prevention and management of CLABSI </w:t>
            </w:r>
          </w:p>
        </w:tc>
        <w:tc>
          <w:tcPr>
            <w:tcW w:w="1980" w:type="dxa"/>
          </w:tcPr>
          <w:p w:rsidR="00145E5F" w:rsidRPr="00E405C6" w:rsidRDefault="00B509E7" w:rsidP="00B5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It is recommended that the health players should be at the forefront on </w:t>
            </w:r>
            <w:r w:rsidR="001C47CE"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preventing </w:t>
            </w:r>
            <w:r w:rsidR="001C47CE" w:rsidRPr="00E405C6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Staphylococcus aureus </w:t>
            </w:r>
            <w:r w:rsidR="001C47CE" w:rsidRPr="00E405C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being the major causes of mobility and mortality</w:t>
            </w:r>
          </w:p>
        </w:tc>
        <w:tc>
          <w:tcPr>
            <w:tcW w:w="2160" w:type="dxa"/>
          </w:tcPr>
          <w:p w:rsidR="007B0888" w:rsidRPr="00E405C6" w:rsidRDefault="007B0888" w:rsidP="007B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The program recommended monitoring of </w:t>
            </w:r>
            <w:r w:rsidR="008B7932" w:rsidRPr="00E405C6">
              <w:rPr>
                <w:rFonts w:ascii="Times New Roman" w:hAnsi="Times New Roman" w:cs="Times New Roman"/>
                <w:sz w:val="24"/>
                <w:szCs w:val="24"/>
              </w:rPr>
              <w:t>adherence and outcomes to evidence-based maintenance practices and insertion of central line</w:t>
            </w:r>
          </w:p>
        </w:tc>
        <w:tc>
          <w:tcPr>
            <w:tcW w:w="2335" w:type="dxa"/>
          </w:tcPr>
          <w:p w:rsidR="00145E5F" w:rsidRPr="00E405C6" w:rsidRDefault="0016047E" w:rsidP="00AA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A5669"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he study recommends the implementation of </w:t>
            </w: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standardized follow-up practices among the SCOPE centers </w:t>
            </w:r>
          </w:p>
        </w:tc>
      </w:tr>
      <w:tr w:rsidR="00145E5F" w:rsidRPr="00E405C6" w:rsidTr="002D48D0">
        <w:trPr>
          <w:trHeight w:val="537"/>
        </w:trPr>
        <w:tc>
          <w:tcPr>
            <w:tcW w:w="1165" w:type="dxa"/>
            <w:shd w:val="clear" w:color="auto" w:fill="E5DFEC" w:themeFill="accent4" w:themeFillTint="33"/>
          </w:tcPr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Explanation of How the Article Supports EBP/Capstone </w:t>
            </w: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Project</w:t>
            </w:r>
          </w:p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E5DFEC" w:themeFill="accent4" w:themeFillTint="33"/>
          </w:tcPr>
          <w:p w:rsidR="00145E5F" w:rsidRPr="00E405C6" w:rsidRDefault="00091B0F" w:rsidP="000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This article presents some of the methods of preventing and treating CLABSI </w:t>
            </w:r>
          </w:p>
        </w:tc>
        <w:tc>
          <w:tcPr>
            <w:tcW w:w="1980" w:type="dxa"/>
            <w:shd w:val="clear" w:color="auto" w:fill="E5DFEC" w:themeFill="accent4" w:themeFillTint="33"/>
          </w:tcPr>
          <w:p w:rsidR="00145E5F" w:rsidRPr="00E405C6" w:rsidRDefault="001C47CE" w:rsidP="001C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This study is important as it provides information regarding </w:t>
            </w:r>
            <w:r w:rsidR="006E39B4"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the common pathogens that are </w:t>
            </w:r>
            <w:r w:rsidR="006E39B4" w:rsidRPr="00E40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associated with CLABSI </w:t>
            </w:r>
          </w:p>
        </w:tc>
        <w:tc>
          <w:tcPr>
            <w:tcW w:w="2160" w:type="dxa"/>
            <w:shd w:val="clear" w:color="auto" w:fill="E5DFEC" w:themeFill="accent4" w:themeFillTint="33"/>
          </w:tcPr>
          <w:p w:rsidR="00145E5F" w:rsidRPr="00E405C6" w:rsidRDefault="008B7932" w:rsidP="008B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This study summarizes some of the approaches and best practices that could be used to control the problem presented</w:t>
            </w:r>
          </w:p>
        </w:tc>
        <w:tc>
          <w:tcPr>
            <w:tcW w:w="2335" w:type="dxa"/>
            <w:shd w:val="clear" w:color="auto" w:fill="E5DFEC" w:themeFill="accent4" w:themeFillTint="33"/>
          </w:tcPr>
          <w:p w:rsidR="00145E5F" w:rsidRPr="00E405C6" w:rsidRDefault="0016047E" w:rsidP="0016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This article is important as it may offer some knowledge </w:t>
            </w:r>
            <w:r w:rsidR="00A17347"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on best practices in management of CLBSI </w:t>
            </w:r>
          </w:p>
        </w:tc>
      </w:tr>
    </w:tbl>
    <w:p w:rsidR="00D5746A" w:rsidRPr="00E405C6" w:rsidRDefault="00D5746A">
      <w:pPr>
        <w:rPr>
          <w:rFonts w:ascii="Times New Roman" w:hAnsi="Times New Roman" w:cs="Times New Roman"/>
          <w:sz w:val="24"/>
          <w:szCs w:val="24"/>
        </w:rPr>
      </w:pPr>
    </w:p>
    <w:p w:rsidR="007A36CB" w:rsidRPr="00E405C6" w:rsidRDefault="007A36CB">
      <w:pPr>
        <w:rPr>
          <w:rFonts w:ascii="Times New Roman" w:hAnsi="Times New Roman" w:cs="Times New Roman"/>
          <w:sz w:val="24"/>
          <w:szCs w:val="24"/>
        </w:rPr>
      </w:pPr>
    </w:p>
    <w:p w:rsidR="007A36CB" w:rsidRPr="00E405C6" w:rsidRDefault="007A36CB">
      <w:pPr>
        <w:rPr>
          <w:rFonts w:ascii="Times New Roman" w:hAnsi="Times New Roman" w:cs="Times New Roman"/>
          <w:sz w:val="24"/>
          <w:szCs w:val="24"/>
        </w:rPr>
      </w:pPr>
    </w:p>
    <w:p w:rsidR="007A36CB" w:rsidRPr="00E405C6" w:rsidRDefault="007A36CB">
      <w:pPr>
        <w:rPr>
          <w:rFonts w:ascii="Times New Roman" w:hAnsi="Times New Roman" w:cs="Times New Roman"/>
          <w:sz w:val="24"/>
          <w:szCs w:val="24"/>
        </w:rPr>
      </w:pPr>
    </w:p>
    <w:p w:rsidR="007A36CB" w:rsidRPr="00E405C6" w:rsidRDefault="007A36CB">
      <w:pPr>
        <w:rPr>
          <w:rFonts w:ascii="Times New Roman" w:hAnsi="Times New Roman" w:cs="Times New Roman"/>
          <w:sz w:val="24"/>
          <w:szCs w:val="24"/>
        </w:rPr>
      </w:pPr>
    </w:p>
    <w:p w:rsidR="007A36CB" w:rsidRPr="00E405C6" w:rsidRDefault="007A36CB">
      <w:pPr>
        <w:rPr>
          <w:rFonts w:ascii="Times New Roman" w:hAnsi="Times New Roman" w:cs="Times New Roman"/>
          <w:sz w:val="24"/>
          <w:szCs w:val="24"/>
        </w:rPr>
      </w:pPr>
    </w:p>
    <w:p w:rsidR="00A17347" w:rsidRPr="00E405C6" w:rsidRDefault="00A17347">
      <w:pPr>
        <w:rPr>
          <w:rFonts w:ascii="Times New Roman" w:hAnsi="Times New Roman" w:cs="Times New Roman"/>
          <w:sz w:val="24"/>
          <w:szCs w:val="24"/>
        </w:rPr>
      </w:pPr>
    </w:p>
    <w:p w:rsidR="00A17347" w:rsidRPr="00E405C6" w:rsidRDefault="00A17347">
      <w:pPr>
        <w:rPr>
          <w:rFonts w:ascii="Times New Roman" w:hAnsi="Times New Roman" w:cs="Times New Roman"/>
          <w:sz w:val="24"/>
          <w:szCs w:val="24"/>
        </w:rPr>
      </w:pPr>
    </w:p>
    <w:p w:rsidR="007A36CB" w:rsidRPr="00E405C6" w:rsidRDefault="007A36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199"/>
        <w:gridCol w:w="2121"/>
        <w:gridCol w:w="1895"/>
        <w:gridCol w:w="2125"/>
        <w:gridCol w:w="2010"/>
      </w:tblGrid>
      <w:tr w:rsidR="00145E5F" w:rsidRPr="00E405C6" w:rsidTr="00D43068">
        <w:trPr>
          <w:trHeight w:val="537"/>
        </w:trPr>
        <w:tc>
          <w:tcPr>
            <w:tcW w:w="1199" w:type="dxa"/>
            <w:shd w:val="clear" w:color="auto" w:fill="B2A1C7" w:themeFill="accent4" w:themeFillTint="99"/>
            <w:vAlign w:val="center"/>
          </w:tcPr>
          <w:p w:rsidR="00145E5F" w:rsidRPr="00E405C6" w:rsidRDefault="00145E5F" w:rsidP="0014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2121" w:type="dxa"/>
            <w:shd w:val="clear" w:color="auto" w:fill="B2A1C7" w:themeFill="accent4" w:themeFillTint="99"/>
            <w:vAlign w:val="center"/>
          </w:tcPr>
          <w:p w:rsidR="00145E5F" w:rsidRPr="00E405C6" w:rsidRDefault="00145E5F" w:rsidP="0014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>Article 5</w:t>
            </w:r>
          </w:p>
        </w:tc>
        <w:tc>
          <w:tcPr>
            <w:tcW w:w="1895" w:type="dxa"/>
            <w:shd w:val="clear" w:color="auto" w:fill="B2A1C7" w:themeFill="accent4" w:themeFillTint="99"/>
            <w:vAlign w:val="center"/>
          </w:tcPr>
          <w:p w:rsidR="00145E5F" w:rsidRPr="00E405C6" w:rsidRDefault="00145E5F" w:rsidP="0014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>Article 6</w:t>
            </w:r>
          </w:p>
        </w:tc>
        <w:tc>
          <w:tcPr>
            <w:tcW w:w="2125" w:type="dxa"/>
            <w:shd w:val="clear" w:color="auto" w:fill="B2A1C7" w:themeFill="accent4" w:themeFillTint="99"/>
            <w:vAlign w:val="center"/>
          </w:tcPr>
          <w:p w:rsidR="00145E5F" w:rsidRPr="00E405C6" w:rsidRDefault="00145E5F" w:rsidP="0014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>Article 7</w:t>
            </w:r>
          </w:p>
        </w:tc>
        <w:tc>
          <w:tcPr>
            <w:tcW w:w="2010" w:type="dxa"/>
            <w:shd w:val="clear" w:color="auto" w:fill="B2A1C7" w:themeFill="accent4" w:themeFillTint="99"/>
            <w:vAlign w:val="center"/>
          </w:tcPr>
          <w:p w:rsidR="00145E5F" w:rsidRPr="00E405C6" w:rsidRDefault="00145E5F" w:rsidP="0014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>Article 8</w:t>
            </w:r>
          </w:p>
        </w:tc>
      </w:tr>
      <w:tr w:rsidR="00145E5F" w:rsidRPr="00E405C6" w:rsidTr="00D43068">
        <w:trPr>
          <w:trHeight w:val="537"/>
        </w:trPr>
        <w:tc>
          <w:tcPr>
            <w:tcW w:w="1199" w:type="dxa"/>
          </w:tcPr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Author, Journal (Peer-Reviewed), and </w:t>
            </w:r>
          </w:p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>Permalink or Working Link to Access Article</w:t>
            </w:r>
          </w:p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145E5F" w:rsidRPr="00E405C6" w:rsidRDefault="00145E5F" w:rsidP="00AD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11C" w:rsidRPr="00E405C6" w:rsidRDefault="00A17347" w:rsidP="00A1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Nguyen DB, Shugart A, Lines C, Shah AB, Edwards J, Pollock D, Sievert D, Patel </w:t>
            </w:r>
          </w:p>
          <w:p w:rsidR="0025111C" w:rsidRPr="00E405C6" w:rsidRDefault="0025111C" w:rsidP="00A1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E5F" w:rsidRPr="00E405C6" w:rsidRDefault="00A4245B" w:rsidP="00A1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17347" w:rsidRPr="00E405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</w:t>
              </w:r>
              <w:r w:rsidR="004040A0" w:rsidRPr="00E405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https://www.ncbi.nlm.nih.gov/pubmed/28663227</w:t>
              </w:r>
              <w:r w:rsidR="0025111C" w:rsidRPr="00E405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  <w:p w:rsidR="00A22DE1" w:rsidRPr="00E405C6" w:rsidRDefault="00A22DE1" w:rsidP="0040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A0" w:rsidRPr="00E405C6" w:rsidRDefault="004040A0" w:rsidP="00A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82A" w:rsidRPr="00E405C6" w:rsidRDefault="00C1682A" w:rsidP="00A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43068" w:rsidRPr="00D43068" w:rsidRDefault="00D43068" w:rsidP="00D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68">
              <w:rPr>
                <w:rFonts w:ascii="Times New Roman" w:hAnsi="Times New Roman" w:cs="Times New Roman"/>
                <w:sz w:val="24"/>
                <w:szCs w:val="24"/>
              </w:rPr>
              <w:t>Patel, P. R., Sarah, H. Y., Booth, S., Bren, V., Downham, G., Hess, S. Jernigan, J. A.</w:t>
            </w:r>
          </w:p>
          <w:p w:rsidR="00D43068" w:rsidRPr="00E405C6" w:rsidRDefault="00A4245B" w:rsidP="00AD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5111C" w:rsidRPr="00E405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https://www.researchgate.net/publication/236911506_Bloodstream_Infection_Rates_in_Outpatient_Hemodialysis_Facilities_Participating_in_a_Collaborative_Prevention_Effort_A_Quality_Improvement_Report</w:t>
              </w:r>
            </w:hyperlink>
          </w:p>
        </w:tc>
        <w:tc>
          <w:tcPr>
            <w:tcW w:w="2125" w:type="dxa"/>
          </w:tcPr>
          <w:p w:rsidR="00145E5F" w:rsidRPr="00E405C6" w:rsidRDefault="00A4245B" w:rsidP="00AD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A4275" w:rsidRPr="00E405C6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Rhee Y</w:t>
              </w:r>
            </w:hyperlink>
            <w:r w:rsidR="00EA4275" w:rsidRPr="00E405C6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9" w:history="1">
              <w:r w:rsidR="00EA4275" w:rsidRPr="00E405C6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Heung M</w:t>
              </w:r>
            </w:hyperlink>
            <w:r w:rsidR="00EA4275"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="00EA4275" w:rsidRPr="00E405C6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Chen B</w:t>
              </w:r>
            </w:hyperlink>
            <w:r w:rsidR="00EA4275" w:rsidRPr="00E405C6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1" w:history="1">
              <w:r w:rsidR="00EA4275" w:rsidRPr="00E405C6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Chenoweth CE</w:t>
              </w:r>
            </w:hyperlink>
            <w:r w:rsidR="00EA4275" w:rsidRPr="00E40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A60" w:rsidRPr="00E405C6" w:rsidRDefault="00B76A60" w:rsidP="00AD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60" w:rsidRPr="00E405C6" w:rsidRDefault="00A4245B" w:rsidP="00AD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76A60" w:rsidRPr="00E405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https://www.ncbi.nlm.nih.gov/pubmed/25782897</w:t>
              </w:r>
            </w:hyperlink>
          </w:p>
        </w:tc>
        <w:tc>
          <w:tcPr>
            <w:tcW w:w="2010" w:type="dxa"/>
          </w:tcPr>
          <w:p w:rsidR="00145E5F" w:rsidRPr="00E405C6" w:rsidRDefault="00DC6367" w:rsidP="00AD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Sarah, H. Y., Kallen, A. J., Hess, S., Bren, V. R., Lincoln, M. E., Downham, G., &amp; Lines, C.</w:t>
            </w:r>
          </w:p>
          <w:p w:rsidR="00304204" w:rsidRPr="00E405C6" w:rsidRDefault="00304204" w:rsidP="00AD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04" w:rsidRPr="00E405C6" w:rsidRDefault="00A4245B" w:rsidP="00AD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04204" w:rsidRPr="00E405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https://booksc.xyz/ireader/60316701</w:t>
              </w:r>
            </w:hyperlink>
            <w:r w:rsidR="00304204"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45E5F" w:rsidRPr="00E405C6" w:rsidTr="00D43068">
        <w:trPr>
          <w:trHeight w:val="537"/>
        </w:trPr>
        <w:tc>
          <w:tcPr>
            <w:tcW w:w="1199" w:type="dxa"/>
          </w:tcPr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>Article Title and Year Published</w:t>
            </w:r>
          </w:p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145E5F" w:rsidRPr="00E405C6" w:rsidRDefault="00A22DE1" w:rsidP="00AD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National Healthcare Safety Network (NHSN) Dialysis Event Surveillance Report for 2014</w:t>
            </w:r>
          </w:p>
          <w:p w:rsidR="00C1682A" w:rsidRPr="00E405C6" w:rsidRDefault="00C1682A" w:rsidP="00AD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82A" w:rsidRPr="00E405C6" w:rsidRDefault="00C1682A" w:rsidP="00AD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95" w:type="dxa"/>
          </w:tcPr>
          <w:p w:rsidR="004D3FE1" w:rsidRPr="004D3FE1" w:rsidRDefault="004D3FE1" w:rsidP="004D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Bloodstream Infection Rates in Outpatient Hemodialysis</w:t>
            </w:r>
          </w:p>
          <w:p w:rsidR="004D3FE1" w:rsidRPr="004D3FE1" w:rsidRDefault="004D3FE1" w:rsidP="004D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E1">
              <w:rPr>
                <w:rFonts w:ascii="Times New Roman" w:hAnsi="Times New Roman" w:cs="Times New Roman"/>
                <w:sz w:val="24"/>
                <w:szCs w:val="24"/>
              </w:rPr>
              <w:t xml:space="preserve">Facilities Participating in a </w:t>
            </w:r>
            <w:r w:rsidRPr="004D3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Collaborative Prevention Effort: A</w:t>
            </w:r>
          </w:p>
          <w:p w:rsidR="004D3FE1" w:rsidRPr="004D3FE1" w:rsidRDefault="004D3FE1" w:rsidP="004D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E1">
              <w:rPr>
                <w:rFonts w:ascii="Times New Roman" w:hAnsi="Times New Roman" w:cs="Times New Roman"/>
                <w:sz w:val="24"/>
                <w:szCs w:val="24"/>
              </w:rPr>
              <w:t>Quality Improvement Report</w:t>
            </w:r>
          </w:p>
          <w:p w:rsidR="00145E5F" w:rsidRPr="00E405C6" w:rsidRDefault="00145E5F" w:rsidP="00AD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E1" w:rsidRPr="00E405C6" w:rsidRDefault="004D3FE1" w:rsidP="00AD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25" w:type="dxa"/>
          </w:tcPr>
          <w:p w:rsidR="00145E5F" w:rsidRPr="00E405C6" w:rsidRDefault="00B76A60" w:rsidP="00AD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Central line-associated bloodstream infections in non-ICU inpatient wards: a 2-year </w:t>
            </w:r>
            <w:r w:rsidRPr="00E40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analysis</w:t>
            </w:r>
          </w:p>
          <w:p w:rsidR="000C2B46" w:rsidRPr="00E405C6" w:rsidRDefault="000C2B46" w:rsidP="00AD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46" w:rsidRPr="00E405C6" w:rsidRDefault="000C2B46" w:rsidP="00AD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10" w:type="dxa"/>
          </w:tcPr>
          <w:p w:rsidR="00145E5F" w:rsidRPr="00E405C6" w:rsidRDefault="00304204" w:rsidP="0030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Sustained Infection Reduction in Outpatient Hemodialysis Centers </w:t>
            </w:r>
            <w:r w:rsidRPr="00E40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Participating in a Collaborative Bloodstream Infection Prevention Effort.</w:t>
            </w:r>
          </w:p>
          <w:p w:rsidR="00304204" w:rsidRPr="00E405C6" w:rsidRDefault="00304204" w:rsidP="0030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04" w:rsidRPr="00E405C6" w:rsidRDefault="00304204" w:rsidP="0030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45E5F" w:rsidRPr="00E405C6" w:rsidTr="00D43068">
        <w:trPr>
          <w:trHeight w:val="537"/>
        </w:trPr>
        <w:tc>
          <w:tcPr>
            <w:tcW w:w="1199" w:type="dxa"/>
          </w:tcPr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Research Questions (Qualitative)/Hypothesis (Quantitative), and Purposes/Aim of Study</w:t>
            </w:r>
          </w:p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145E5F" w:rsidRPr="00E405C6" w:rsidRDefault="006764C8" w:rsidP="0067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The research purpose is to</w:t>
            </w:r>
            <w:r w:rsidR="0067390B"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 analyze</w:t>
            </w: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 2014 National Healthcare Safety Network Dialysis Event </w:t>
            </w:r>
          </w:p>
        </w:tc>
        <w:tc>
          <w:tcPr>
            <w:tcW w:w="1895" w:type="dxa"/>
          </w:tcPr>
          <w:p w:rsidR="00145E5F" w:rsidRPr="00E405C6" w:rsidRDefault="004D6790" w:rsidP="004D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It is hypothesized that there is no trend in BSI rates interventions </w:t>
            </w:r>
          </w:p>
        </w:tc>
        <w:tc>
          <w:tcPr>
            <w:tcW w:w="2125" w:type="dxa"/>
          </w:tcPr>
          <w:p w:rsidR="0088483A" w:rsidRPr="00E405C6" w:rsidRDefault="0088483A" w:rsidP="008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It is hypothesized that </w:t>
            </w:r>
            <w:r w:rsidR="00441EDC" w:rsidRPr="00E405C6">
              <w:rPr>
                <w:rFonts w:ascii="Times New Roman" w:hAnsi="Times New Roman" w:cs="Times New Roman"/>
                <w:sz w:val="24"/>
                <w:szCs w:val="24"/>
              </w:rPr>
              <w:t>patients undergoing dialysis would encompass a major part of this cohort</w:t>
            </w:r>
          </w:p>
          <w:p w:rsidR="00145E5F" w:rsidRPr="00E405C6" w:rsidRDefault="00145E5F" w:rsidP="00AD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145E5F" w:rsidRPr="00E405C6" w:rsidRDefault="008D534E" w:rsidP="0030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The purpose of </w:t>
            </w:r>
            <w:r w:rsidR="00B13273"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the study is to analyze the of BSI by the hemodialysis centers </w:t>
            </w:r>
          </w:p>
        </w:tc>
      </w:tr>
      <w:tr w:rsidR="00145E5F" w:rsidRPr="00E405C6" w:rsidTr="00D43068">
        <w:trPr>
          <w:trHeight w:val="537"/>
        </w:trPr>
        <w:tc>
          <w:tcPr>
            <w:tcW w:w="1199" w:type="dxa"/>
          </w:tcPr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>Design (Type of Quantitative, or Type of Qualitative)</w:t>
            </w:r>
          </w:p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145E5F" w:rsidRPr="00E405C6" w:rsidRDefault="0067390B" w:rsidP="0067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Quantitative design </w:t>
            </w:r>
          </w:p>
        </w:tc>
        <w:tc>
          <w:tcPr>
            <w:tcW w:w="1895" w:type="dxa"/>
          </w:tcPr>
          <w:p w:rsidR="00145E5F" w:rsidRPr="00E405C6" w:rsidRDefault="002F2F96" w:rsidP="00AD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Quantitative design </w:t>
            </w:r>
          </w:p>
        </w:tc>
        <w:tc>
          <w:tcPr>
            <w:tcW w:w="2125" w:type="dxa"/>
          </w:tcPr>
          <w:p w:rsidR="00145E5F" w:rsidRPr="00E405C6" w:rsidRDefault="000C2B46" w:rsidP="000C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Quantitative </w:t>
            </w:r>
            <w:r w:rsidR="0088483A" w:rsidRPr="00E405C6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</w:p>
        </w:tc>
        <w:tc>
          <w:tcPr>
            <w:tcW w:w="2010" w:type="dxa"/>
          </w:tcPr>
          <w:p w:rsidR="00145E5F" w:rsidRPr="00E405C6" w:rsidRDefault="00DB1E0E" w:rsidP="00AD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Quantitative study </w:t>
            </w:r>
          </w:p>
        </w:tc>
      </w:tr>
      <w:tr w:rsidR="00145E5F" w:rsidRPr="00E405C6" w:rsidTr="00D43068">
        <w:trPr>
          <w:trHeight w:val="537"/>
        </w:trPr>
        <w:tc>
          <w:tcPr>
            <w:tcW w:w="1199" w:type="dxa"/>
          </w:tcPr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>Setting/Sample</w:t>
            </w:r>
          </w:p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145E5F" w:rsidRPr="00E405C6" w:rsidRDefault="0067390B" w:rsidP="0067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National Healthcare Safety Network</w:t>
            </w:r>
            <w:r w:rsidR="00784102" w:rsidRPr="00E40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4102" w:rsidRPr="00E405C6" w:rsidRDefault="00784102" w:rsidP="0067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hemodialysis outpatients</w:t>
            </w:r>
          </w:p>
        </w:tc>
        <w:tc>
          <w:tcPr>
            <w:tcW w:w="1895" w:type="dxa"/>
          </w:tcPr>
          <w:p w:rsidR="00145E5F" w:rsidRPr="00E405C6" w:rsidRDefault="00FD7372" w:rsidP="00FD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Patients in 17 outpatient hemodialysis facilities</w:t>
            </w:r>
          </w:p>
        </w:tc>
        <w:tc>
          <w:tcPr>
            <w:tcW w:w="2125" w:type="dxa"/>
          </w:tcPr>
          <w:p w:rsidR="00145E5F" w:rsidRPr="00E405C6" w:rsidRDefault="00EA4275" w:rsidP="00EA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An 880-bed tertiary teaching hospital</w:t>
            </w:r>
          </w:p>
          <w:p w:rsidR="00EA4275" w:rsidRPr="00E405C6" w:rsidRDefault="00EA4275" w:rsidP="00EA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Patients with CLABSI in non-ICU wards</w:t>
            </w:r>
          </w:p>
        </w:tc>
        <w:tc>
          <w:tcPr>
            <w:tcW w:w="2010" w:type="dxa"/>
          </w:tcPr>
          <w:p w:rsidR="00145E5F" w:rsidRPr="00E405C6" w:rsidRDefault="00CF6293" w:rsidP="00AD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Outpatient Hemodialysis Centers</w:t>
            </w:r>
          </w:p>
        </w:tc>
      </w:tr>
      <w:tr w:rsidR="00145E5F" w:rsidRPr="00E405C6" w:rsidTr="00D43068">
        <w:trPr>
          <w:trHeight w:val="537"/>
        </w:trPr>
        <w:tc>
          <w:tcPr>
            <w:tcW w:w="1199" w:type="dxa"/>
          </w:tcPr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>Methods: Intervention/Instruments</w:t>
            </w:r>
          </w:p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145E5F" w:rsidRPr="00E405C6" w:rsidRDefault="00784102" w:rsidP="0067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Qualitative data used </w:t>
            </w:r>
          </w:p>
        </w:tc>
        <w:tc>
          <w:tcPr>
            <w:tcW w:w="1895" w:type="dxa"/>
          </w:tcPr>
          <w:p w:rsidR="00145E5F" w:rsidRPr="00E405C6" w:rsidRDefault="00FD7372" w:rsidP="00FD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Quality improvement project</w:t>
            </w:r>
          </w:p>
        </w:tc>
        <w:tc>
          <w:tcPr>
            <w:tcW w:w="2125" w:type="dxa"/>
          </w:tcPr>
          <w:p w:rsidR="00145E5F" w:rsidRPr="00E405C6" w:rsidRDefault="00EA4275" w:rsidP="00EA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Retrospective observational study</w:t>
            </w:r>
          </w:p>
        </w:tc>
        <w:tc>
          <w:tcPr>
            <w:tcW w:w="2010" w:type="dxa"/>
          </w:tcPr>
          <w:p w:rsidR="00145E5F" w:rsidRPr="00E405C6" w:rsidRDefault="00DB1E0E" w:rsidP="00D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Longitudinal study</w:t>
            </w:r>
          </w:p>
        </w:tc>
      </w:tr>
      <w:tr w:rsidR="00145E5F" w:rsidRPr="00E405C6" w:rsidTr="00D43068">
        <w:trPr>
          <w:trHeight w:val="537"/>
        </w:trPr>
        <w:tc>
          <w:tcPr>
            <w:tcW w:w="1199" w:type="dxa"/>
          </w:tcPr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>Analysis</w:t>
            </w:r>
          </w:p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145E5F" w:rsidRPr="00E405C6" w:rsidRDefault="00784102" w:rsidP="007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The article reports that the outpatients receiving dialysis are at great risk of contracting blood infections </w:t>
            </w:r>
          </w:p>
        </w:tc>
        <w:tc>
          <w:tcPr>
            <w:tcW w:w="1895" w:type="dxa"/>
          </w:tcPr>
          <w:p w:rsidR="00145E5F" w:rsidRPr="00E405C6" w:rsidRDefault="00FD7372" w:rsidP="00FD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The Bloodstream Infections are associated with morbidity among the dialysis patients </w:t>
            </w:r>
          </w:p>
        </w:tc>
        <w:tc>
          <w:tcPr>
            <w:tcW w:w="2125" w:type="dxa"/>
          </w:tcPr>
          <w:p w:rsidR="00145E5F" w:rsidRPr="00E405C6" w:rsidRDefault="00FF66F3" w:rsidP="004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This study describes the factors which contribute to CLBSI outside the ICU unit </w:t>
            </w:r>
          </w:p>
        </w:tc>
        <w:tc>
          <w:tcPr>
            <w:tcW w:w="2010" w:type="dxa"/>
          </w:tcPr>
          <w:p w:rsidR="00145E5F" w:rsidRPr="00E405C6" w:rsidRDefault="00DB1E0E" w:rsidP="00D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The study evaluates the importance of coll</w:t>
            </w:r>
            <w:r w:rsidR="00656B7F" w:rsidRPr="00E405C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borative approaches in the prevention of BSI </w:t>
            </w:r>
            <w:r w:rsidR="00B751F5" w:rsidRPr="00E405C6">
              <w:rPr>
                <w:rFonts w:ascii="Times New Roman" w:hAnsi="Times New Roman" w:cs="Times New Roman"/>
                <w:sz w:val="24"/>
                <w:szCs w:val="24"/>
              </w:rPr>
              <w:t>in dialysis centers</w:t>
            </w:r>
          </w:p>
        </w:tc>
      </w:tr>
      <w:tr w:rsidR="00145E5F" w:rsidRPr="00E405C6" w:rsidTr="00D43068">
        <w:trPr>
          <w:trHeight w:val="537"/>
        </w:trPr>
        <w:tc>
          <w:tcPr>
            <w:tcW w:w="1199" w:type="dxa"/>
          </w:tcPr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Key Findings</w:t>
            </w:r>
          </w:p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9156B2" w:rsidRPr="00E405C6" w:rsidRDefault="009156B2" w:rsidP="00C9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B2" w:rsidRPr="00E405C6" w:rsidRDefault="009156B2" w:rsidP="00AD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The finding of the research </w:t>
            </w:r>
            <w:r w:rsidR="00C93446" w:rsidRPr="00E405C6">
              <w:rPr>
                <w:rFonts w:ascii="Times New Roman" w:hAnsi="Times New Roman" w:cs="Times New Roman"/>
                <w:sz w:val="24"/>
                <w:szCs w:val="24"/>
              </w:rPr>
              <w:t>is that 6005 outpatients hemodialysis centers confirmed data reported by National Healthcare Safety Network.</w:t>
            </w:r>
          </w:p>
        </w:tc>
        <w:tc>
          <w:tcPr>
            <w:tcW w:w="1895" w:type="dxa"/>
          </w:tcPr>
          <w:p w:rsidR="00FC0644" w:rsidRPr="00E405C6" w:rsidRDefault="002F2F96" w:rsidP="002F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FE6C73"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out of facilities evaluated are charitable and are hospital owned </w:t>
            </w:r>
          </w:p>
        </w:tc>
        <w:tc>
          <w:tcPr>
            <w:tcW w:w="2125" w:type="dxa"/>
          </w:tcPr>
          <w:p w:rsidR="00FF66F3" w:rsidRPr="00E405C6" w:rsidRDefault="00EB001D" w:rsidP="00E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For the period of 2 years, 104 participants suffered CL</w:t>
            </w:r>
            <w:r w:rsidR="00F11D50"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ABS for disease rate of 0.35 out of 1000 patient days </w:t>
            </w:r>
          </w:p>
          <w:p w:rsidR="00FF66F3" w:rsidRPr="00E405C6" w:rsidRDefault="00FF66F3" w:rsidP="00AD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F3" w:rsidRPr="00E405C6" w:rsidRDefault="00FF66F3" w:rsidP="00AD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E5F" w:rsidRPr="00E405C6" w:rsidRDefault="00145E5F" w:rsidP="00AD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145E5F" w:rsidRPr="00E405C6" w:rsidRDefault="00656B7F" w:rsidP="0065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Unadjusted  pooled mean ARBSI and BSI rate </w:t>
            </w:r>
            <w:r w:rsidR="00976FD7"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reduced from the baseline to the intercession period </w:t>
            </w:r>
          </w:p>
        </w:tc>
      </w:tr>
      <w:tr w:rsidR="00145E5F" w:rsidRPr="00E405C6" w:rsidTr="00D43068">
        <w:trPr>
          <w:trHeight w:val="537"/>
        </w:trPr>
        <w:tc>
          <w:tcPr>
            <w:tcW w:w="1199" w:type="dxa"/>
          </w:tcPr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>Recommendations</w:t>
            </w:r>
          </w:p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145E5F" w:rsidRPr="00E405C6" w:rsidRDefault="009F1B14" w:rsidP="00C9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The study recommends decreased use of central venous catheter as it is associated with blood infections </w:t>
            </w:r>
          </w:p>
        </w:tc>
        <w:tc>
          <w:tcPr>
            <w:tcW w:w="1895" w:type="dxa"/>
          </w:tcPr>
          <w:p w:rsidR="00145E5F" w:rsidRPr="00E405C6" w:rsidRDefault="00BE3737" w:rsidP="00D4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The study recommended the availability of control arm for the quality enhancement project </w:t>
            </w:r>
          </w:p>
        </w:tc>
        <w:tc>
          <w:tcPr>
            <w:tcW w:w="2125" w:type="dxa"/>
          </w:tcPr>
          <w:p w:rsidR="00145E5F" w:rsidRPr="00E405C6" w:rsidRDefault="00457576" w:rsidP="00A7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It is recommended that the dialysis facilities should consider Enterococcus spp as it preset the greatest threat </w:t>
            </w:r>
          </w:p>
        </w:tc>
        <w:tc>
          <w:tcPr>
            <w:tcW w:w="2010" w:type="dxa"/>
          </w:tcPr>
          <w:p w:rsidR="00145E5F" w:rsidRPr="00E405C6" w:rsidRDefault="00B751F5" w:rsidP="00B7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It is recommended that </w:t>
            </w:r>
            <w:r w:rsidR="00CF6293"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another study should be conducted within the centers with baseline data </w:t>
            </w:r>
          </w:p>
        </w:tc>
      </w:tr>
      <w:tr w:rsidR="00145E5F" w:rsidRPr="00E405C6" w:rsidTr="00D43068">
        <w:trPr>
          <w:trHeight w:val="537"/>
        </w:trPr>
        <w:tc>
          <w:tcPr>
            <w:tcW w:w="1199" w:type="dxa"/>
            <w:shd w:val="clear" w:color="auto" w:fill="E5DFEC" w:themeFill="accent4" w:themeFillTint="33"/>
          </w:tcPr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>Explanation of How the Article Supports EBP/Capstone</w:t>
            </w:r>
          </w:p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E5DFEC" w:themeFill="accent4" w:themeFillTint="33"/>
          </w:tcPr>
          <w:p w:rsidR="00145E5F" w:rsidRPr="00E405C6" w:rsidRDefault="009F1B14" w:rsidP="009F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This study is important as it depicts the best </w:t>
            </w:r>
            <w:r w:rsidR="0096477B"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catheter to use in order to reduce cases of CLABSI </w:t>
            </w:r>
          </w:p>
        </w:tc>
        <w:tc>
          <w:tcPr>
            <w:tcW w:w="1895" w:type="dxa"/>
            <w:shd w:val="clear" w:color="auto" w:fill="E5DFEC" w:themeFill="accent4" w:themeFillTint="33"/>
          </w:tcPr>
          <w:p w:rsidR="00145E5F" w:rsidRPr="00E405C6" w:rsidRDefault="00DC0612" w:rsidP="00BE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The study is important as it highlight the prevalence of BSI among dialysis patients </w:t>
            </w:r>
          </w:p>
        </w:tc>
        <w:tc>
          <w:tcPr>
            <w:tcW w:w="2125" w:type="dxa"/>
            <w:shd w:val="clear" w:color="auto" w:fill="E5DFEC" w:themeFill="accent4" w:themeFillTint="33"/>
          </w:tcPr>
          <w:p w:rsidR="00145E5F" w:rsidRPr="00E405C6" w:rsidRDefault="00457576" w:rsidP="0045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This study is important i</w:t>
            </w:r>
            <w:r w:rsidR="00220CB2"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t highlights the most important pathogens as far as CLBSI is concerned </w:t>
            </w:r>
          </w:p>
        </w:tc>
        <w:tc>
          <w:tcPr>
            <w:tcW w:w="2010" w:type="dxa"/>
            <w:shd w:val="clear" w:color="auto" w:fill="E5DFEC" w:themeFill="accent4" w:themeFillTint="33"/>
          </w:tcPr>
          <w:p w:rsidR="00145E5F" w:rsidRPr="00E405C6" w:rsidRDefault="00CF6293" w:rsidP="00CF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This analysis is important in the establishment of intervention against CLBSI </w:t>
            </w:r>
          </w:p>
        </w:tc>
      </w:tr>
    </w:tbl>
    <w:p w:rsidR="004101C1" w:rsidRPr="00E405C6" w:rsidRDefault="004101C1">
      <w:pPr>
        <w:rPr>
          <w:rFonts w:ascii="Times New Roman" w:hAnsi="Times New Roman" w:cs="Times New Roman"/>
          <w:sz w:val="24"/>
          <w:szCs w:val="24"/>
        </w:rPr>
      </w:pPr>
    </w:p>
    <w:p w:rsidR="003E1F68" w:rsidRPr="00E405C6" w:rsidRDefault="003E1F68">
      <w:pPr>
        <w:rPr>
          <w:rFonts w:ascii="Times New Roman" w:hAnsi="Times New Roman" w:cs="Times New Roman"/>
          <w:sz w:val="24"/>
          <w:szCs w:val="24"/>
        </w:rPr>
      </w:pPr>
    </w:p>
    <w:p w:rsidR="00891E86" w:rsidRPr="00E405C6" w:rsidRDefault="00891E86" w:rsidP="004101C1">
      <w:pPr>
        <w:rPr>
          <w:rFonts w:ascii="Times New Roman" w:hAnsi="Times New Roman" w:cs="Times New Roman"/>
          <w:sz w:val="24"/>
          <w:szCs w:val="24"/>
        </w:rPr>
      </w:pPr>
    </w:p>
    <w:sectPr w:rsidR="00891E86" w:rsidRPr="00E405C6" w:rsidSect="00145E5F"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436" w:rsidRDefault="009E0436" w:rsidP="003E1F68">
      <w:pPr>
        <w:spacing w:after="0" w:line="240" w:lineRule="auto"/>
      </w:pPr>
      <w:r>
        <w:separator/>
      </w:r>
    </w:p>
  </w:endnote>
  <w:endnote w:type="continuationSeparator" w:id="1">
    <w:p w:rsidR="009E0436" w:rsidRDefault="009E0436" w:rsidP="003E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F68" w:rsidRPr="006B2717" w:rsidRDefault="003E1F68" w:rsidP="006B2717">
    <w:pPr>
      <w:spacing w:line="240" w:lineRule="auto"/>
      <w:jc w:val="center"/>
      <w:rPr>
        <w:rFonts w:ascii="Times New Roman" w:eastAsia="Calibri" w:hAnsi="Times New Roman" w:cs="Times New Roman"/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F68" w:rsidRPr="006B2717" w:rsidRDefault="003E1F68" w:rsidP="006B2717">
    <w:pPr>
      <w:spacing w:line="240" w:lineRule="auto"/>
      <w:jc w:val="center"/>
      <w:rPr>
        <w:rFonts w:ascii="Times New Roman" w:eastAsia="Calibri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436" w:rsidRDefault="009E0436" w:rsidP="003E1F68">
      <w:pPr>
        <w:spacing w:after="0" w:line="240" w:lineRule="auto"/>
      </w:pPr>
      <w:r>
        <w:separator/>
      </w:r>
    </w:p>
  </w:footnote>
  <w:footnote w:type="continuationSeparator" w:id="1">
    <w:p w:rsidR="009E0436" w:rsidRDefault="009E0436" w:rsidP="003E1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F68" w:rsidRDefault="003E1F68">
    <w:pPr>
      <w:pStyle w:val="Header"/>
    </w:pPr>
  </w:p>
  <w:p w:rsidR="003E1F68" w:rsidRDefault="003E1F68">
    <w:pPr>
      <w:pStyle w:val="Header"/>
    </w:pPr>
  </w:p>
  <w:p w:rsidR="003E1F68" w:rsidRPr="006B2717" w:rsidRDefault="003E1F68">
    <w:pPr>
      <w:pStyle w:val="Header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E24B9"/>
    <w:rsid w:val="00077F53"/>
    <w:rsid w:val="00091B0F"/>
    <w:rsid w:val="0009789C"/>
    <w:rsid w:val="000C2B46"/>
    <w:rsid w:val="00145E5F"/>
    <w:rsid w:val="00146954"/>
    <w:rsid w:val="0016047E"/>
    <w:rsid w:val="0016510B"/>
    <w:rsid w:val="001C1519"/>
    <w:rsid w:val="001C47CE"/>
    <w:rsid w:val="001E297C"/>
    <w:rsid w:val="001F6674"/>
    <w:rsid w:val="00220CB2"/>
    <w:rsid w:val="0025111C"/>
    <w:rsid w:val="002711BD"/>
    <w:rsid w:val="00287610"/>
    <w:rsid w:val="002A10D0"/>
    <w:rsid w:val="002C5601"/>
    <w:rsid w:val="002D02BF"/>
    <w:rsid w:val="002D0A8A"/>
    <w:rsid w:val="002D48D0"/>
    <w:rsid w:val="002F2F96"/>
    <w:rsid w:val="00301785"/>
    <w:rsid w:val="00304204"/>
    <w:rsid w:val="00305BFE"/>
    <w:rsid w:val="00314308"/>
    <w:rsid w:val="00365D7C"/>
    <w:rsid w:val="00370C86"/>
    <w:rsid w:val="003B07E0"/>
    <w:rsid w:val="003E1F68"/>
    <w:rsid w:val="004040A0"/>
    <w:rsid w:val="004101C1"/>
    <w:rsid w:val="00441EDC"/>
    <w:rsid w:val="00442DAD"/>
    <w:rsid w:val="00457576"/>
    <w:rsid w:val="00470DCD"/>
    <w:rsid w:val="004C3234"/>
    <w:rsid w:val="004D3FE1"/>
    <w:rsid w:val="004D6790"/>
    <w:rsid w:val="005553DD"/>
    <w:rsid w:val="005C2BEC"/>
    <w:rsid w:val="005C4F04"/>
    <w:rsid w:val="00613416"/>
    <w:rsid w:val="0065005E"/>
    <w:rsid w:val="00656B7F"/>
    <w:rsid w:val="0067390B"/>
    <w:rsid w:val="006764C8"/>
    <w:rsid w:val="006B2717"/>
    <w:rsid w:val="006C21F6"/>
    <w:rsid w:val="006D3FF7"/>
    <w:rsid w:val="006E39B4"/>
    <w:rsid w:val="00724127"/>
    <w:rsid w:val="00731F70"/>
    <w:rsid w:val="00732C75"/>
    <w:rsid w:val="00754EAD"/>
    <w:rsid w:val="0075750C"/>
    <w:rsid w:val="00784102"/>
    <w:rsid w:val="00786394"/>
    <w:rsid w:val="007A36CB"/>
    <w:rsid w:val="007B0888"/>
    <w:rsid w:val="007F1F7F"/>
    <w:rsid w:val="0081431C"/>
    <w:rsid w:val="0082692E"/>
    <w:rsid w:val="0088483A"/>
    <w:rsid w:val="00891E86"/>
    <w:rsid w:val="008B7932"/>
    <w:rsid w:val="008C2846"/>
    <w:rsid w:val="008C5B06"/>
    <w:rsid w:val="008D0878"/>
    <w:rsid w:val="008D534E"/>
    <w:rsid w:val="008D6FCE"/>
    <w:rsid w:val="009156B2"/>
    <w:rsid w:val="0096477B"/>
    <w:rsid w:val="00976FD7"/>
    <w:rsid w:val="009B4D19"/>
    <w:rsid w:val="009C6626"/>
    <w:rsid w:val="009E0436"/>
    <w:rsid w:val="009F1B14"/>
    <w:rsid w:val="00A04BDC"/>
    <w:rsid w:val="00A051F7"/>
    <w:rsid w:val="00A17347"/>
    <w:rsid w:val="00A22DE1"/>
    <w:rsid w:val="00A4245B"/>
    <w:rsid w:val="00A71EAF"/>
    <w:rsid w:val="00AA5669"/>
    <w:rsid w:val="00AB372B"/>
    <w:rsid w:val="00AC65EA"/>
    <w:rsid w:val="00AE1100"/>
    <w:rsid w:val="00B13273"/>
    <w:rsid w:val="00B509E7"/>
    <w:rsid w:val="00B512F4"/>
    <w:rsid w:val="00B70B68"/>
    <w:rsid w:val="00B751F5"/>
    <w:rsid w:val="00B76A60"/>
    <w:rsid w:val="00B813FF"/>
    <w:rsid w:val="00BD5DA5"/>
    <w:rsid w:val="00BE3737"/>
    <w:rsid w:val="00BF7001"/>
    <w:rsid w:val="00C1682A"/>
    <w:rsid w:val="00C520F6"/>
    <w:rsid w:val="00C93446"/>
    <w:rsid w:val="00CB071B"/>
    <w:rsid w:val="00CB7877"/>
    <w:rsid w:val="00CD019F"/>
    <w:rsid w:val="00CE24B9"/>
    <w:rsid w:val="00CF6293"/>
    <w:rsid w:val="00D43068"/>
    <w:rsid w:val="00D5746A"/>
    <w:rsid w:val="00D7141F"/>
    <w:rsid w:val="00D92299"/>
    <w:rsid w:val="00DB1E0E"/>
    <w:rsid w:val="00DC0612"/>
    <w:rsid w:val="00DC6367"/>
    <w:rsid w:val="00DC7240"/>
    <w:rsid w:val="00E00A37"/>
    <w:rsid w:val="00E405C6"/>
    <w:rsid w:val="00E44045"/>
    <w:rsid w:val="00E646A9"/>
    <w:rsid w:val="00EA4275"/>
    <w:rsid w:val="00EB001D"/>
    <w:rsid w:val="00EE020D"/>
    <w:rsid w:val="00EF08F8"/>
    <w:rsid w:val="00F041F0"/>
    <w:rsid w:val="00F11D50"/>
    <w:rsid w:val="00FA7E8E"/>
    <w:rsid w:val="00FC0644"/>
    <w:rsid w:val="00FD7184"/>
    <w:rsid w:val="00FD7372"/>
    <w:rsid w:val="00FE6C73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45B"/>
  </w:style>
  <w:style w:type="paragraph" w:styleId="Heading1">
    <w:name w:val="heading 1"/>
    <w:basedOn w:val="Normal"/>
    <w:next w:val="Normal"/>
    <w:link w:val="Heading1Char"/>
    <w:uiPriority w:val="9"/>
    <w:qFormat/>
    <w:rsid w:val="00D57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14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3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3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3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1C"/>
    <w:rPr>
      <w:rFonts w:ascii="Tahoma" w:hAnsi="Tahoma" w:cs="Tahoma"/>
      <w:sz w:val="16"/>
      <w:szCs w:val="16"/>
    </w:rPr>
  </w:style>
  <w:style w:type="paragraph" w:customStyle="1" w:styleId="GrandCanyonDocumentTitle">
    <w:name w:val="Grand Canyon Document Title"/>
    <w:basedOn w:val="Heading1"/>
    <w:rsid w:val="00D5746A"/>
    <w:pPr>
      <w:keepLines w:val="0"/>
      <w:pBdr>
        <w:bottom w:val="single" w:sz="4" w:space="1" w:color="auto"/>
      </w:pBdr>
      <w:spacing w:before="240" w:after="120" w:line="240" w:lineRule="auto"/>
      <w:jc w:val="center"/>
    </w:pPr>
    <w:rPr>
      <w:rFonts w:ascii="Bookman Old Style" w:eastAsia="Times New Roman" w:hAnsi="Bookman Old Style" w:cs="Arial"/>
      <w:b w:val="0"/>
      <w:color w:val="auto"/>
      <w:kern w:val="32"/>
      <w:sz w:val="4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57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EF08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F68"/>
  </w:style>
  <w:style w:type="paragraph" w:styleId="Footer">
    <w:name w:val="footer"/>
    <w:basedOn w:val="Normal"/>
    <w:link w:val="FooterChar"/>
    <w:uiPriority w:val="99"/>
    <w:unhideWhenUsed/>
    <w:rsid w:val="003E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F68"/>
  </w:style>
  <w:style w:type="character" w:styleId="Hyperlink">
    <w:name w:val="Hyperlink"/>
    <w:basedOn w:val="DefaultParagraphFont"/>
    <w:uiPriority w:val="99"/>
    <w:unhideWhenUsed/>
    <w:rsid w:val="00DC724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72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1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tandfonline.com/doi/full/10.1080/1120009X.2019.1595894?scroll=top&amp;needAccess=true" TargetMode="External"/><Relationship Id="rId18" Type="http://schemas.openxmlformats.org/officeDocument/2006/relationships/hyperlink" Target="https://www.ncbi.nlm.nih.gov/pubmed/?term=Rhee%20Y%5BAuthor%5D&amp;cauthor=true&amp;cauthor_uid=25782897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cbi.nlm.nih.gov/pubmed/?term=Chenoweth%20CE%5BAuthor%5D&amp;cauthor=true&amp;cauthor_uid=25782897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ajicjournal.org/article/S0196-6553(16)30052-9/fulltext" TargetMode="External"/><Relationship Id="rId17" Type="http://schemas.openxmlformats.org/officeDocument/2006/relationships/hyperlink" Target="https://www.researchgate.net/publication/236911506_Bloodstream_Infection_Rates_in_Outpatient_Hemodialysis_Facilities_Participating_in_a_Collaborative_Prevention_Effort_A_Quality_Improvement_Report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searchgate.net/publication/236911506_Bloodstream_Infection_Rates_in_Outpatient_Hemodialysis_Facilities_Participating_in_a_Collaborative_Prevention_Effort_A_Quality_Improvement_Report" TargetMode="External"/><Relationship Id="rId20" Type="http://schemas.openxmlformats.org/officeDocument/2006/relationships/hyperlink" Target="https://www.ncbi.nlm.nih.gov/pubmed/?term=Chen%20B%5BAuthor%5D&amp;cauthor=true&amp;cauthor_uid=25782897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booksc.xyz/ireader/53270213" TargetMode="External"/><Relationship Id="rId23" Type="http://schemas.openxmlformats.org/officeDocument/2006/relationships/hyperlink" Target="https://booksc.xyz/ireader/60316701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ncbi.nlm.nih.gov/pubmed/?term=Heung%20M%5BAuthor%5D&amp;cauthor=true&amp;cauthor_uid=25782897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cbi.nlm.nih.gov/pmc/articles/PMC4857414/" TargetMode="External"/><Relationship Id="rId22" Type="http://schemas.openxmlformats.org/officeDocument/2006/relationships/hyperlink" Target="https://www.ncbi.nlm.nih.gov/pubmed/2578289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0342A6046271154FB65457AF66FBD0DB" ma:contentTypeVersion="19" ma:contentTypeDescription="Create a new Course Development document." ma:contentTypeScope="" ma:versionID="a4fd6baf80be5baade6383210358fd88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TaxHTField0 xmlns="http://schemas.microsoft.com/sharepoint/v3">
      <Terms xmlns="http://schemas.microsoft.com/office/infopath/2007/PartnerControls"/>
    </DocumentCategory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HTL-665</TermName>
          <TermId xmlns="http://schemas.microsoft.com/office/infopath/2007/PartnerControls">22222222-2222-2222-2222-222222222222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  <TaxCatchAll xmlns="30a82cfc-8d0b-455e-b705-4035c60ff9fd">
      <Value>2</Value>
      <Value>4903</Value>
      <Value>72</Value>
      <Value>1</Value>
      <Value>3</Value>
    </TaxCatchAll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DocumentComments xmlns="http://schemas.microsoft.com/sharepoint/v3" xsi:nil="true"/>
    <CourseVersion xmlns="30a82cfc-8d0b-455e-b705-4035c60ff9fd" xsi:nil="true"/>
  </documentManagement>
</p:properties>
</file>

<file path=customXml/itemProps1.xml><?xml version="1.0" encoding="utf-8"?>
<ds:datastoreItem xmlns:ds="http://schemas.openxmlformats.org/officeDocument/2006/customXml" ds:itemID="{7E465B6C-2B91-49FD-BE0C-A35846599A8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B8D0F89-7383-40E8-8923-2D6A5DC54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89BCAF-6C2D-468E-87E5-121278B68FA6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A398FBE-27B9-4396-9321-FBE3FFCEBAB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793E016-7E1D-4F70-B093-4DC885574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1350919-B681-4796-ABEA-0EDE74F083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klish</cp:lastModifiedBy>
  <cp:revision>2</cp:revision>
  <dcterms:created xsi:type="dcterms:W3CDTF">2020-02-20T13:39:00Z</dcterms:created>
  <dcterms:modified xsi:type="dcterms:W3CDTF">2020-02-20T13:39:00Z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72;#Course Development|533941c5-78f9-4b70-9343-0feaf09f5b89</vt:lpwstr>
  </property>
  <property fmtid="{D5CDD505-2E9C-101B-9397-08002B2CF9AE}" pid="5" name="ContentTypeId">
    <vt:lpwstr>0x010100A30BC5E90BED914E81F4B67CDEADBEEF0072B4D5296E9CCD41A4B955E8BC4A98B9000342A6046271154FB65457AF66FBD0DB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ubject">
    <vt:lpwstr>4903;#HTL-665|22222222-2222-2222-2222-222222222222</vt:lpwstr>
  </property>
  <property fmtid="{D5CDD505-2E9C-101B-9397-08002B2CF9AE}" pid="8" name="DocumentBusinessValue">
    <vt:lpwstr>1;#Normal|581d4866-74cc-43f1-bef1-bb304cbfeaa5</vt:lpwstr>
  </property>
  <property fmtid="{D5CDD505-2E9C-101B-9397-08002B2CF9AE}" pid="9" name="DocumentStatus">
    <vt:lpwstr/>
  </property>
  <property fmtid="{D5CDD505-2E9C-101B-9397-08002B2CF9AE}" pid="10" name="DocumentCategory">
    <vt:lpwstr/>
  </property>
</Properties>
</file>