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BD" w:rsidRDefault="007362BD" w:rsidP="007362BD">
      <w:pPr>
        <w:jc w:val="center"/>
        <w:rPr>
          <w:b/>
        </w:rPr>
      </w:pPr>
      <w:r w:rsidRPr="00C25BD2">
        <w:rPr>
          <w:b/>
        </w:rPr>
        <w:t>5</w:t>
      </w:r>
      <w:r>
        <w:rPr>
          <w:b/>
        </w:rPr>
        <w:t>300:420</w:t>
      </w:r>
      <w:r w:rsidRPr="00C25BD2">
        <w:rPr>
          <w:b/>
        </w:rPr>
        <w:t xml:space="preserve"> Instructional Techniques in Science</w:t>
      </w:r>
    </w:p>
    <w:p w:rsidR="007362BD" w:rsidRDefault="007362BD" w:rsidP="007362BD">
      <w:pPr>
        <w:jc w:val="center"/>
        <w:rPr>
          <w:b/>
        </w:rPr>
      </w:pPr>
      <w:r>
        <w:rPr>
          <w:b/>
        </w:rPr>
        <w:t>5500: 520 Advanced Instructional Techniques</w:t>
      </w:r>
    </w:p>
    <w:p w:rsidR="007362BD" w:rsidRDefault="007971CC" w:rsidP="00E054DA">
      <w:pPr>
        <w:jc w:val="center"/>
      </w:pPr>
      <w:r>
        <w:t>Unit Plan Requirements</w:t>
      </w:r>
    </w:p>
    <w:p w:rsidR="00B9450C" w:rsidRDefault="00B9450C" w:rsidP="007362BD"/>
    <w:p w:rsidR="00B9450C" w:rsidRPr="00B9450C" w:rsidRDefault="00B9450C" w:rsidP="00B9450C">
      <w:r w:rsidRPr="00B9450C">
        <w:t>“Science and technology influence every aspect of our lives. From health to climate change and from bioethics to energy, a myriad of personal and societal issues requires citizens to make informed decisions based on science and technology. These issues provide a rich and motivating context in which students can learn the principles and practices of science and technology” (</w:t>
      </w:r>
      <w:hyperlink r:id="rId5" w:history="1">
        <w:r w:rsidRPr="00B9450C">
          <w:rPr>
            <w:rStyle w:val="Hyperlink"/>
          </w:rPr>
          <w:t>NSTA, 2010</w:t>
        </w:r>
      </w:hyperlink>
      <w:r w:rsidRPr="00B9450C">
        <w:t xml:space="preserve">). </w:t>
      </w:r>
    </w:p>
    <w:p w:rsidR="00B9450C" w:rsidRPr="00B9450C" w:rsidRDefault="00B9450C" w:rsidP="00B9450C"/>
    <w:p w:rsidR="00B9450C" w:rsidRPr="00B9450C" w:rsidRDefault="00B9450C" w:rsidP="00B9450C">
      <w:r w:rsidRPr="00B9450C">
        <w:t>Teacher of science recognize that informed citizens must be prepared to make decisions and take action on contemporary science- and technology-related issues of interest to the general society. They are expected to engage students successfully in the analysis of problems, including considerations of risks, costs, and benefits of alternative solutions; relating these to the knowledge, goals and values of the students (NSTA, 2003).</w:t>
      </w:r>
    </w:p>
    <w:p w:rsidR="00B9450C" w:rsidRDefault="00B9450C" w:rsidP="007362BD"/>
    <w:p w:rsidR="00026BED" w:rsidRDefault="001C7A72" w:rsidP="007362BD">
      <w:r>
        <w:t xml:space="preserve">To show this understanding, you will design a unit plan centered around a socio-scientific issue, that will engage students in using scientific practices to build understanding of science concepts, and to show connections between science and contemporary issues. </w:t>
      </w:r>
    </w:p>
    <w:p w:rsidR="001C7A72" w:rsidRDefault="001C7A72" w:rsidP="007362BD"/>
    <w:p w:rsidR="007362BD" w:rsidRDefault="007362BD" w:rsidP="007362BD">
      <w:r>
        <w:t>Your unit must include the following</w:t>
      </w:r>
      <w:r w:rsidR="00B9450C">
        <w:t xml:space="preserve"> science-specific</w:t>
      </w:r>
      <w:r>
        <w:t xml:space="preserve"> components:</w:t>
      </w:r>
    </w:p>
    <w:p w:rsidR="007362BD" w:rsidRDefault="007362BD" w:rsidP="007362BD"/>
    <w:p w:rsidR="007362BD" w:rsidRDefault="007362BD" w:rsidP="007362BD">
      <w:pPr>
        <w:pStyle w:val="ListParagraph"/>
        <w:numPr>
          <w:ilvl w:val="0"/>
          <w:numId w:val="1"/>
        </w:numPr>
      </w:pPr>
      <w:r>
        <w:t xml:space="preserve">Identify learning goals tied to state (New Ohio Learning Standards) and national standards (NGSS). </w:t>
      </w:r>
    </w:p>
    <w:p w:rsidR="007362BD" w:rsidRDefault="007362BD" w:rsidP="007362BD">
      <w:pPr>
        <w:pStyle w:val="ListParagraph"/>
        <w:numPr>
          <w:ilvl w:val="0"/>
          <w:numId w:val="1"/>
        </w:numPr>
      </w:pPr>
      <w:r>
        <w:t xml:space="preserve">Identify </w:t>
      </w:r>
      <w:r w:rsidRPr="00D17289">
        <w:rPr>
          <w:b/>
        </w:rPr>
        <w:t>science practices</w:t>
      </w:r>
      <w:r>
        <w:t xml:space="preserve"> addressed in your unit. Your lessons must engage students in developmentally appropriate inquiries where they develop the concepts from observations, data, and inferences</w:t>
      </w:r>
      <w:r w:rsidRPr="0077543C">
        <w:t xml:space="preserve">. </w:t>
      </w:r>
      <w:r>
        <w:t>Inquiry can be teacher guided or open ended, but it is not a “step-by-step” lab.</w:t>
      </w:r>
    </w:p>
    <w:p w:rsidR="007362BD" w:rsidRDefault="007362BD" w:rsidP="007362BD">
      <w:pPr>
        <w:pStyle w:val="ListParagraph"/>
        <w:numPr>
          <w:ilvl w:val="0"/>
          <w:numId w:val="1"/>
        </w:numPr>
      </w:pPr>
      <w:r w:rsidRPr="00D17289">
        <w:rPr>
          <w:b/>
        </w:rPr>
        <w:t xml:space="preserve">Safety </w:t>
      </w:r>
      <w:r>
        <w:t>precautions should be stated</w:t>
      </w:r>
    </w:p>
    <w:p w:rsidR="007362BD" w:rsidRDefault="007362BD" w:rsidP="007362BD">
      <w:pPr>
        <w:pStyle w:val="ListParagraph"/>
        <w:numPr>
          <w:ilvl w:val="0"/>
          <w:numId w:val="1"/>
        </w:numPr>
      </w:pPr>
      <w:r>
        <w:t xml:space="preserve">Formative and Summative </w:t>
      </w:r>
      <w:r w:rsidRPr="00D17289">
        <w:rPr>
          <w:b/>
        </w:rPr>
        <w:t>Assessments</w:t>
      </w:r>
      <w:r>
        <w:t xml:space="preserve">. </w:t>
      </w:r>
    </w:p>
    <w:p w:rsidR="007362BD" w:rsidRDefault="007362BD" w:rsidP="007362BD">
      <w:pPr>
        <w:numPr>
          <w:ilvl w:val="0"/>
          <w:numId w:val="1"/>
        </w:numPr>
      </w:pPr>
      <w:r>
        <w:t xml:space="preserve">Content: </w:t>
      </w:r>
    </w:p>
    <w:p w:rsidR="007362BD" w:rsidRDefault="007362BD" w:rsidP="007362BD">
      <w:pPr>
        <w:numPr>
          <w:ilvl w:val="1"/>
          <w:numId w:val="1"/>
        </w:numPr>
      </w:pPr>
      <w:r>
        <w:t>The s</w:t>
      </w:r>
      <w:r w:rsidRPr="0077543C">
        <w:t>cience content must be accurate and grade-appropriate.</w:t>
      </w:r>
      <w:r>
        <w:t xml:space="preserve"> You can consult textbooks or the standards to figure out what is appropriate at a particular grade level. </w:t>
      </w:r>
    </w:p>
    <w:p w:rsidR="007362BD" w:rsidRDefault="007362BD" w:rsidP="007362BD">
      <w:pPr>
        <w:numPr>
          <w:ilvl w:val="1"/>
          <w:numId w:val="1"/>
        </w:numPr>
      </w:pPr>
      <w:r>
        <w:t xml:space="preserve">Address </w:t>
      </w:r>
      <w:r w:rsidRPr="00D17289">
        <w:rPr>
          <w:b/>
        </w:rPr>
        <w:t>possible students’ misconceptions</w:t>
      </w:r>
      <w:r>
        <w:t xml:space="preserve">. </w:t>
      </w:r>
    </w:p>
    <w:p w:rsidR="007362BD" w:rsidRDefault="007362BD" w:rsidP="007362BD">
      <w:pPr>
        <w:numPr>
          <w:ilvl w:val="1"/>
          <w:numId w:val="1"/>
        </w:numPr>
      </w:pPr>
      <w:r>
        <w:t>Relate the content to students’ personal lives, and to everyday technological applications</w:t>
      </w:r>
    </w:p>
    <w:p w:rsidR="007362BD" w:rsidRDefault="007362BD" w:rsidP="007362BD">
      <w:pPr>
        <w:pStyle w:val="ListParagraph"/>
        <w:numPr>
          <w:ilvl w:val="0"/>
          <w:numId w:val="1"/>
        </w:numPr>
      </w:pPr>
      <w:r>
        <w:t xml:space="preserve">Identify </w:t>
      </w:r>
      <w:r w:rsidRPr="00D17289">
        <w:rPr>
          <w:b/>
        </w:rPr>
        <w:t>Community Resources</w:t>
      </w:r>
      <w:r>
        <w:t xml:space="preserve"> that can be used in your unit. </w:t>
      </w:r>
    </w:p>
    <w:p w:rsidR="007362BD" w:rsidRDefault="007362BD" w:rsidP="007362BD">
      <w:pPr>
        <w:numPr>
          <w:ilvl w:val="0"/>
          <w:numId w:val="1"/>
        </w:numPr>
        <w:tabs>
          <w:tab w:val="left" w:pos="2160"/>
        </w:tabs>
      </w:pPr>
      <w:r>
        <w:t>The unit plan should address a relevant</w:t>
      </w:r>
      <w:r w:rsidRPr="00D17289">
        <w:rPr>
          <w:b/>
        </w:rPr>
        <w:t>societal issue or problem</w:t>
      </w:r>
      <w:r>
        <w:t xml:space="preserve">. You need to guide your students in analyzing the issue or the problem, including considerations of risks and benefits, and considerations of alternative solutions. Guide your students to differentiate the science from the non-science of the issue or problem. </w:t>
      </w:r>
    </w:p>
    <w:p w:rsidR="00EE48BC" w:rsidRDefault="00EE48BC" w:rsidP="007362BD">
      <w:pPr>
        <w:numPr>
          <w:ilvl w:val="0"/>
          <w:numId w:val="1"/>
        </w:numPr>
        <w:tabs>
          <w:tab w:val="left" w:pos="2160"/>
        </w:tabs>
      </w:pPr>
      <w:r>
        <w:t>Address interdisciplinary connections (connections to Math, Social Studies, LA, Arts, etc.)</w:t>
      </w:r>
    </w:p>
    <w:p w:rsidR="00924E4E" w:rsidRDefault="00924E4E" w:rsidP="00924E4E">
      <w:pPr>
        <w:tabs>
          <w:tab w:val="left" w:pos="2160"/>
        </w:tabs>
        <w:ind w:left="720"/>
      </w:pPr>
    </w:p>
    <w:p w:rsidR="00924E4E" w:rsidRPr="00924E4E" w:rsidRDefault="00924E4E" w:rsidP="00924E4E">
      <w:pPr>
        <w:tabs>
          <w:tab w:val="left" w:pos="2160"/>
        </w:tabs>
        <w:ind w:left="720"/>
        <w:jc w:val="center"/>
        <w:rPr>
          <w:b/>
          <w:color w:val="0070C0"/>
        </w:rPr>
      </w:pPr>
      <w:r w:rsidRPr="00924E4E">
        <w:rPr>
          <w:b/>
          <w:color w:val="0070C0"/>
        </w:rPr>
        <w:t>SEE ATTACHED TEMPLATE FOR MORE INFORMATION</w:t>
      </w:r>
    </w:p>
    <w:p w:rsidR="00924E4E" w:rsidRDefault="00924E4E" w:rsidP="00A103A2"/>
    <w:p w:rsidR="00924E4E" w:rsidRPr="00924E4E" w:rsidRDefault="00924E4E" w:rsidP="00A103A2">
      <w:pPr>
        <w:sectPr w:rsidR="00924E4E" w:rsidRPr="00924E4E" w:rsidSect="00026BED">
          <w:pgSz w:w="12240" w:h="15840"/>
          <w:pgMar w:top="1152" w:right="1440" w:bottom="1440" w:left="1440" w:header="720" w:footer="720" w:gutter="0"/>
          <w:cols w:space="720"/>
          <w:docGrid w:linePitch="360"/>
        </w:sectPr>
      </w:pPr>
    </w:p>
    <w:p w:rsidR="00A103A2" w:rsidRPr="005F57DB" w:rsidRDefault="00A103A2" w:rsidP="00A103A2">
      <w:pPr>
        <w:jc w:val="center"/>
        <w:rPr>
          <w:b/>
        </w:rPr>
      </w:pPr>
      <w:bookmarkStart w:id="0" w:name="_GoBack"/>
      <w:bookmarkEnd w:id="0"/>
      <w:r w:rsidRPr="005F57DB">
        <w:rPr>
          <w:b/>
        </w:rPr>
        <w:lastRenderedPageBreak/>
        <w:t>Unit Plan Rubric</w:t>
      </w: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2272"/>
        <w:gridCol w:w="3634"/>
        <w:gridCol w:w="3634"/>
        <w:gridCol w:w="828"/>
      </w:tblGrid>
      <w:tr w:rsidR="00A103A2" w:rsidRPr="004F1790" w:rsidTr="00A103A2">
        <w:trPr>
          <w:trHeight w:val="262"/>
        </w:trPr>
        <w:tc>
          <w:tcPr>
            <w:tcW w:w="2808" w:type="dxa"/>
          </w:tcPr>
          <w:p w:rsidR="00A103A2" w:rsidRPr="004F1790" w:rsidRDefault="00A103A2" w:rsidP="00A103A2">
            <w:pPr>
              <w:rPr>
                <w:b/>
                <w:sz w:val="20"/>
                <w:szCs w:val="20"/>
              </w:rPr>
            </w:pPr>
            <w:r>
              <w:rPr>
                <w:b/>
                <w:sz w:val="20"/>
                <w:szCs w:val="20"/>
              </w:rPr>
              <w:t>Feature</w:t>
            </w:r>
          </w:p>
        </w:tc>
        <w:tc>
          <w:tcPr>
            <w:tcW w:w="2272" w:type="dxa"/>
          </w:tcPr>
          <w:p w:rsidR="00A103A2" w:rsidRPr="004F1790" w:rsidRDefault="00A103A2" w:rsidP="00A103A2">
            <w:pPr>
              <w:rPr>
                <w:b/>
                <w:sz w:val="20"/>
                <w:szCs w:val="20"/>
              </w:rPr>
            </w:pPr>
            <w:r>
              <w:rPr>
                <w:b/>
                <w:sz w:val="20"/>
                <w:szCs w:val="20"/>
              </w:rPr>
              <w:t>Unacceptable (1)</w:t>
            </w:r>
          </w:p>
        </w:tc>
        <w:tc>
          <w:tcPr>
            <w:tcW w:w="3634" w:type="dxa"/>
          </w:tcPr>
          <w:p w:rsidR="00A103A2" w:rsidRPr="004F1790" w:rsidRDefault="00A103A2" w:rsidP="00A103A2">
            <w:pPr>
              <w:rPr>
                <w:b/>
                <w:sz w:val="20"/>
                <w:szCs w:val="20"/>
              </w:rPr>
            </w:pPr>
            <w:r>
              <w:rPr>
                <w:b/>
                <w:sz w:val="20"/>
                <w:szCs w:val="20"/>
              </w:rPr>
              <w:t>Acceptable (2)</w:t>
            </w:r>
          </w:p>
        </w:tc>
        <w:tc>
          <w:tcPr>
            <w:tcW w:w="3634" w:type="dxa"/>
          </w:tcPr>
          <w:p w:rsidR="00A103A2" w:rsidRPr="004F1790" w:rsidRDefault="00A103A2" w:rsidP="00A103A2">
            <w:pPr>
              <w:rPr>
                <w:b/>
                <w:sz w:val="20"/>
                <w:szCs w:val="20"/>
              </w:rPr>
            </w:pPr>
            <w:r>
              <w:rPr>
                <w:b/>
                <w:sz w:val="20"/>
                <w:szCs w:val="20"/>
              </w:rPr>
              <w:t>Accomplished (3)</w:t>
            </w:r>
          </w:p>
        </w:tc>
        <w:tc>
          <w:tcPr>
            <w:tcW w:w="828" w:type="dxa"/>
          </w:tcPr>
          <w:p w:rsidR="00A103A2" w:rsidRPr="004F1790" w:rsidRDefault="00A103A2" w:rsidP="00A103A2">
            <w:pPr>
              <w:rPr>
                <w:b/>
                <w:sz w:val="20"/>
                <w:szCs w:val="20"/>
              </w:rPr>
            </w:pPr>
            <w:r w:rsidRPr="004F1790">
              <w:rPr>
                <w:b/>
                <w:sz w:val="20"/>
                <w:szCs w:val="20"/>
              </w:rPr>
              <w:t>Score</w:t>
            </w:r>
          </w:p>
        </w:tc>
      </w:tr>
      <w:tr w:rsidR="00A103A2" w:rsidRPr="006A6628" w:rsidTr="00A103A2">
        <w:trPr>
          <w:trHeight w:val="1592"/>
        </w:trPr>
        <w:tc>
          <w:tcPr>
            <w:tcW w:w="2808" w:type="dxa"/>
          </w:tcPr>
          <w:p w:rsidR="00A103A2" w:rsidRDefault="00A103A2" w:rsidP="00A103A2">
            <w:pPr>
              <w:rPr>
                <w:b/>
                <w:sz w:val="20"/>
                <w:szCs w:val="20"/>
              </w:rPr>
            </w:pPr>
            <w:r>
              <w:rPr>
                <w:b/>
                <w:sz w:val="20"/>
                <w:szCs w:val="20"/>
              </w:rPr>
              <w:t>Content</w:t>
            </w:r>
          </w:p>
          <w:p w:rsidR="00A103A2" w:rsidRDefault="00A103A2" w:rsidP="00A103A2">
            <w:pPr>
              <w:rPr>
                <w:b/>
                <w:sz w:val="20"/>
                <w:szCs w:val="20"/>
              </w:rPr>
            </w:pPr>
            <w:r>
              <w:rPr>
                <w:b/>
                <w:sz w:val="20"/>
                <w:szCs w:val="20"/>
              </w:rPr>
              <w:t xml:space="preserve">(NSTA, </w:t>
            </w:r>
            <w:r w:rsidR="00CC7CFA">
              <w:rPr>
                <w:b/>
                <w:sz w:val="20"/>
                <w:szCs w:val="20"/>
              </w:rPr>
              <w:t>2</w:t>
            </w:r>
            <w:r>
              <w:rPr>
                <w:b/>
                <w:sz w:val="20"/>
                <w:szCs w:val="20"/>
              </w:rPr>
              <w:t xml:space="preserve">a) </w:t>
            </w:r>
          </w:p>
          <w:p w:rsidR="00A103A2" w:rsidRPr="006A6628" w:rsidRDefault="00A103A2" w:rsidP="00CC7CFA">
            <w:pPr>
              <w:rPr>
                <w:b/>
                <w:sz w:val="20"/>
                <w:szCs w:val="20"/>
              </w:rPr>
            </w:pPr>
          </w:p>
        </w:tc>
        <w:tc>
          <w:tcPr>
            <w:tcW w:w="2272" w:type="dxa"/>
          </w:tcPr>
          <w:p w:rsidR="00A103A2" w:rsidRDefault="00A103A2" w:rsidP="00A103A2">
            <w:pPr>
              <w:rPr>
                <w:sz w:val="20"/>
                <w:szCs w:val="20"/>
              </w:rPr>
            </w:pPr>
            <w:r>
              <w:rPr>
                <w:sz w:val="20"/>
                <w:szCs w:val="20"/>
              </w:rPr>
              <w:t>Content contains major inaccuracies or is not developmentally appropriate.</w:t>
            </w:r>
          </w:p>
          <w:p w:rsidR="00A103A2" w:rsidRPr="006A6628" w:rsidRDefault="00A103A2" w:rsidP="00A103A2">
            <w:pPr>
              <w:rPr>
                <w:sz w:val="20"/>
                <w:szCs w:val="20"/>
              </w:rPr>
            </w:pPr>
          </w:p>
        </w:tc>
        <w:tc>
          <w:tcPr>
            <w:tcW w:w="3634" w:type="dxa"/>
          </w:tcPr>
          <w:p w:rsidR="00A103A2" w:rsidRDefault="00A103A2" w:rsidP="00A103A2">
            <w:pPr>
              <w:rPr>
                <w:sz w:val="20"/>
                <w:szCs w:val="20"/>
              </w:rPr>
            </w:pPr>
            <w:r>
              <w:rPr>
                <w:sz w:val="20"/>
                <w:szCs w:val="20"/>
              </w:rPr>
              <w:t>Content is accurate and grade-appropriate.</w:t>
            </w:r>
          </w:p>
          <w:p w:rsidR="00A103A2" w:rsidRDefault="00A103A2" w:rsidP="00A103A2">
            <w:pPr>
              <w:rPr>
                <w:sz w:val="20"/>
                <w:szCs w:val="20"/>
              </w:rPr>
            </w:pPr>
            <w:r>
              <w:rPr>
                <w:sz w:val="20"/>
                <w:szCs w:val="20"/>
              </w:rPr>
              <w:t>Likely misconceptions addressed.</w:t>
            </w:r>
          </w:p>
          <w:p w:rsidR="00A103A2" w:rsidRPr="006A6628" w:rsidRDefault="00A103A2" w:rsidP="00A103A2">
            <w:pPr>
              <w:rPr>
                <w:sz w:val="20"/>
                <w:szCs w:val="20"/>
              </w:rPr>
            </w:pPr>
          </w:p>
        </w:tc>
        <w:tc>
          <w:tcPr>
            <w:tcW w:w="3634" w:type="dxa"/>
          </w:tcPr>
          <w:p w:rsidR="00A103A2" w:rsidRPr="006A6628" w:rsidRDefault="00A103A2" w:rsidP="00A103A2">
            <w:pPr>
              <w:rPr>
                <w:sz w:val="20"/>
                <w:szCs w:val="20"/>
              </w:rPr>
            </w:pPr>
            <w:r>
              <w:rPr>
                <w:sz w:val="20"/>
                <w:szCs w:val="20"/>
              </w:rPr>
              <w:t xml:space="preserve">Content is accurate and presented in-depth. Connections between concepts are made clear to students. Likely misconceptions addressed. </w:t>
            </w:r>
          </w:p>
        </w:tc>
        <w:tc>
          <w:tcPr>
            <w:tcW w:w="828" w:type="dxa"/>
          </w:tcPr>
          <w:p w:rsidR="00A103A2" w:rsidRPr="006A6628" w:rsidRDefault="00A103A2" w:rsidP="00A103A2">
            <w:pPr>
              <w:rPr>
                <w:sz w:val="20"/>
                <w:szCs w:val="20"/>
              </w:rPr>
            </w:pPr>
          </w:p>
        </w:tc>
      </w:tr>
      <w:tr w:rsidR="00A103A2" w:rsidRPr="006A6628" w:rsidTr="00A103A2">
        <w:trPr>
          <w:trHeight w:val="872"/>
        </w:trPr>
        <w:tc>
          <w:tcPr>
            <w:tcW w:w="2808" w:type="dxa"/>
          </w:tcPr>
          <w:p w:rsidR="00A103A2" w:rsidRDefault="00A103A2" w:rsidP="00A103A2">
            <w:pPr>
              <w:rPr>
                <w:b/>
                <w:sz w:val="20"/>
                <w:szCs w:val="20"/>
              </w:rPr>
            </w:pPr>
            <w:r>
              <w:rPr>
                <w:b/>
                <w:sz w:val="20"/>
                <w:szCs w:val="20"/>
              </w:rPr>
              <w:t>Personal and technological applications</w:t>
            </w:r>
          </w:p>
          <w:p w:rsidR="00A103A2" w:rsidRPr="006A6628" w:rsidRDefault="00A103A2" w:rsidP="00CC7CFA">
            <w:pPr>
              <w:rPr>
                <w:b/>
                <w:sz w:val="20"/>
                <w:szCs w:val="20"/>
              </w:rPr>
            </w:pPr>
            <w:r>
              <w:rPr>
                <w:b/>
                <w:sz w:val="20"/>
                <w:szCs w:val="20"/>
              </w:rPr>
              <w:t xml:space="preserve">(NSTA, </w:t>
            </w:r>
            <w:r w:rsidR="00CC7CFA">
              <w:rPr>
                <w:b/>
                <w:sz w:val="20"/>
                <w:szCs w:val="20"/>
              </w:rPr>
              <w:t>2</w:t>
            </w:r>
            <w:r>
              <w:rPr>
                <w:b/>
                <w:sz w:val="20"/>
                <w:szCs w:val="20"/>
              </w:rPr>
              <w:t>c)</w:t>
            </w:r>
          </w:p>
        </w:tc>
        <w:tc>
          <w:tcPr>
            <w:tcW w:w="2272" w:type="dxa"/>
          </w:tcPr>
          <w:p w:rsidR="00A103A2" w:rsidRDefault="00A103A2" w:rsidP="00A103A2">
            <w:pPr>
              <w:rPr>
                <w:sz w:val="20"/>
                <w:szCs w:val="20"/>
              </w:rPr>
            </w:pPr>
            <w:r>
              <w:rPr>
                <w:sz w:val="20"/>
                <w:szCs w:val="20"/>
              </w:rPr>
              <w:t>No connection made to the personal lives of students</w:t>
            </w:r>
          </w:p>
          <w:p w:rsidR="00A103A2" w:rsidRPr="006A6628" w:rsidRDefault="00A103A2" w:rsidP="00A103A2">
            <w:pPr>
              <w:rPr>
                <w:sz w:val="20"/>
                <w:szCs w:val="20"/>
              </w:rPr>
            </w:pPr>
          </w:p>
        </w:tc>
        <w:tc>
          <w:tcPr>
            <w:tcW w:w="3634" w:type="dxa"/>
          </w:tcPr>
          <w:p w:rsidR="00A103A2" w:rsidRDefault="00A103A2" w:rsidP="00A103A2">
            <w:pPr>
              <w:rPr>
                <w:sz w:val="20"/>
                <w:szCs w:val="20"/>
              </w:rPr>
            </w:pPr>
            <w:r>
              <w:rPr>
                <w:sz w:val="20"/>
                <w:szCs w:val="20"/>
              </w:rPr>
              <w:t xml:space="preserve">Content is connected to students’ lives or to a technological application. </w:t>
            </w:r>
          </w:p>
          <w:p w:rsidR="00A103A2" w:rsidRPr="006A6628" w:rsidRDefault="00A103A2" w:rsidP="00A103A2">
            <w:pPr>
              <w:rPr>
                <w:sz w:val="20"/>
                <w:szCs w:val="20"/>
              </w:rPr>
            </w:pPr>
          </w:p>
        </w:tc>
        <w:tc>
          <w:tcPr>
            <w:tcW w:w="3634" w:type="dxa"/>
          </w:tcPr>
          <w:p w:rsidR="00A103A2" w:rsidRDefault="00A103A2" w:rsidP="00A103A2">
            <w:pPr>
              <w:rPr>
                <w:sz w:val="20"/>
                <w:szCs w:val="20"/>
              </w:rPr>
            </w:pPr>
            <w:r>
              <w:rPr>
                <w:sz w:val="20"/>
                <w:szCs w:val="20"/>
              </w:rPr>
              <w:t xml:space="preserve">Several connections are made throughout the unit to students’ lives and technological applications of science, or ties are particularly creative or insightful. </w:t>
            </w:r>
          </w:p>
          <w:p w:rsidR="00A103A2" w:rsidRPr="006A6628" w:rsidRDefault="00A103A2" w:rsidP="00A103A2">
            <w:pPr>
              <w:rPr>
                <w:sz w:val="20"/>
                <w:szCs w:val="20"/>
              </w:rPr>
            </w:pPr>
          </w:p>
        </w:tc>
        <w:tc>
          <w:tcPr>
            <w:tcW w:w="828" w:type="dxa"/>
          </w:tcPr>
          <w:p w:rsidR="00A103A2" w:rsidRPr="006A6628" w:rsidRDefault="00A103A2" w:rsidP="00A103A2">
            <w:pPr>
              <w:rPr>
                <w:sz w:val="20"/>
                <w:szCs w:val="20"/>
              </w:rPr>
            </w:pPr>
          </w:p>
        </w:tc>
      </w:tr>
      <w:tr w:rsidR="00A103A2" w:rsidRPr="006A6628" w:rsidTr="00A103A2">
        <w:trPr>
          <w:trHeight w:val="1448"/>
        </w:trPr>
        <w:tc>
          <w:tcPr>
            <w:tcW w:w="2808" w:type="dxa"/>
          </w:tcPr>
          <w:p w:rsidR="00A103A2" w:rsidRDefault="00A103A2" w:rsidP="00A103A2">
            <w:pPr>
              <w:rPr>
                <w:b/>
                <w:sz w:val="20"/>
                <w:szCs w:val="20"/>
              </w:rPr>
            </w:pPr>
            <w:r>
              <w:rPr>
                <w:b/>
                <w:sz w:val="20"/>
                <w:szCs w:val="20"/>
              </w:rPr>
              <w:t>Planning: goals/objectives</w:t>
            </w:r>
          </w:p>
          <w:p w:rsidR="00A103A2" w:rsidRDefault="00A103A2" w:rsidP="00A103A2">
            <w:pPr>
              <w:rPr>
                <w:b/>
                <w:sz w:val="20"/>
                <w:szCs w:val="20"/>
              </w:rPr>
            </w:pPr>
            <w:r>
              <w:rPr>
                <w:b/>
                <w:sz w:val="20"/>
                <w:szCs w:val="20"/>
              </w:rPr>
              <w:t>(NSTA</w:t>
            </w:r>
            <w:r w:rsidR="00CC7CFA">
              <w:rPr>
                <w:b/>
                <w:sz w:val="20"/>
                <w:szCs w:val="20"/>
              </w:rPr>
              <w:t>,1c</w:t>
            </w:r>
            <w:r>
              <w:rPr>
                <w:b/>
                <w:sz w:val="20"/>
                <w:szCs w:val="20"/>
              </w:rPr>
              <w:t>)</w:t>
            </w:r>
          </w:p>
          <w:p w:rsidR="00A103A2" w:rsidRDefault="00A103A2" w:rsidP="00A103A2">
            <w:pPr>
              <w:rPr>
                <w:b/>
                <w:sz w:val="20"/>
                <w:szCs w:val="20"/>
              </w:rPr>
            </w:pPr>
          </w:p>
        </w:tc>
        <w:tc>
          <w:tcPr>
            <w:tcW w:w="2272" w:type="dxa"/>
          </w:tcPr>
          <w:p w:rsidR="00A103A2" w:rsidRDefault="00A103A2" w:rsidP="00A103A2">
            <w:pPr>
              <w:rPr>
                <w:sz w:val="20"/>
                <w:szCs w:val="20"/>
              </w:rPr>
            </w:pPr>
            <w:r>
              <w:rPr>
                <w:sz w:val="20"/>
                <w:szCs w:val="20"/>
              </w:rPr>
              <w:t xml:space="preserve">Goals and objectives are not focused on student learning or are vague. </w:t>
            </w:r>
          </w:p>
          <w:p w:rsidR="00A103A2" w:rsidRDefault="00A103A2" w:rsidP="00A103A2">
            <w:pPr>
              <w:rPr>
                <w:sz w:val="20"/>
                <w:szCs w:val="20"/>
              </w:rPr>
            </w:pPr>
            <w:r>
              <w:rPr>
                <w:sz w:val="20"/>
                <w:szCs w:val="20"/>
              </w:rPr>
              <w:t>Standards are missing or not connected to the topic.</w:t>
            </w:r>
          </w:p>
          <w:p w:rsidR="00A103A2" w:rsidRPr="006A6628" w:rsidRDefault="00A103A2" w:rsidP="00A103A2">
            <w:pPr>
              <w:rPr>
                <w:sz w:val="20"/>
                <w:szCs w:val="20"/>
              </w:rPr>
            </w:pPr>
          </w:p>
        </w:tc>
        <w:tc>
          <w:tcPr>
            <w:tcW w:w="3634" w:type="dxa"/>
          </w:tcPr>
          <w:p w:rsidR="00A103A2" w:rsidRDefault="00A103A2" w:rsidP="00A103A2">
            <w:pPr>
              <w:rPr>
                <w:sz w:val="20"/>
                <w:szCs w:val="20"/>
              </w:rPr>
            </w:pPr>
            <w:r>
              <w:rPr>
                <w:sz w:val="20"/>
                <w:szCs w:val="20"/>
              </w:rPr>
              <w:t xml:space="preserve">Objectives are written with focus on student learning.  </w:t>
            </w:r>
          </w:p>
          <w:p w:rsidR="00A103A2" w:rsidRDefault="00A103A2" w:rsidP="00A103A2">
            <w:pPr>
              <w:rPr>
                <w:sz w:val="20"/>
                <w:szCs w:val="20"/>
              </w:rPr>
            </w:pPr>
            <w:r>
              <w:rPr>
                <w:sz w:val="20"/>
                <w:szCs w:val="20"/>
              </w:rPr>
              <w:t>Standards are listed and are appropriate.</w:t>
            </w:r>
          </w:p>
          <w:p w:rsidR="00A103A2" w:rsidRPr="006A6628" w:rsidRDefault="00A103A2" w:rsidP="00A103A2">
            <w:pPr>
              <w:rPr>
                <w:sz w:val="20"/>
                <w:szCs w:val="20"/>
              </w:rPr>
            </w:pPr>
          </w:p>
        </w:tc>
        <w:tc>
          <w:tcPr>
            <w:tcW w:w="3634" w:type="dxa"/>
          </w:tcPr>
          <w:p w:rsidR="00A103A2" w:rsidRPr="000C50D1" w:rsidRDefault="00A103A2" w:rsidP="00A103A2">
            <w:pPr>
              <w:rPr>
                <w:sz w:val="20"/>
                <w:szCs w:val="20"/>
              </w:rPr>
            </w:pPr>
            <w:r>
              <w:rPr>
                <w:sz w:val="20"/>
                <w:szCs w:val="20"/>
              </w:rPr>
              <w:t xml:space="preserve">In addition to acceptable performance, a clear rationale is given for how the </w:t>
            </w:r>
            <w:r w:rsidRPr="000C50D1">
              <w:rPr>
                <w:sz w:val="20"/>
                <w:szCs w:val="20"/>
              </w:rPr>
              <w:t>goals/objecti</w:t>
            </w:r>
            <w:r>
              <w:rPr>
                <w:sz w:val="20"/>
                <w:szCs w:val="20"/>
              </w:rPr>
              <w:t xml:space="preserve">ves are designed to meet students’ </w:t>
            </w:r>
            <w:r w:rsidRPr="000C50D1">
              <w:rPr>
                <w:sz w:val="20"/>
                <w:szCs w:val="20"/>
              </w:rPr>
              <w:t>needs</w:t>
            </w:r>
            <w:r>
              <w:rPr>
                <w:sz w:val="20"/>
                <w:szCs w:val="20"/>
              </w:rPr>
              <w:t>.</w:t>
            </w:r>
          </w:p>
          <w:p w:rsidR="00A103A2" w:rsidRPr="006A6628" w:rsidRDefault="00A103A2" w:rsidP="00A103A2">
            <w:pPr>
              <w:rPr>
                <w:sz w:val="20"/>
                <w:szCs w:val="20"/>
              </w:rPr>
            </w:pPr>
          </w:p>
        </w:tc>
        <w:tc>
          <w:tcPr>
            <w:tcW w:w="828" w:type="dxa"/>
          </w:tcPr>
          <w:p w:rsidR="00A103A2" w:rsidRPr="006A6628" w:rsidRDefault="00A103A2" w:rsidP="00A103A2">
            <w:pPr>
              <w:rPr>
                <w:sz w:val="20"/>
                <w:szCs w:val="20"/>
              </w:rPr>
            </w:pPr>
          </w:p>
        </w:tc>
      </w:tr>
      <w:tr w:rsidR="00A103A2" w:rsidRPr="006A6628" w:rsidTr="00A103A2">
        <w:trPr>
          <w:trHeight w:val="1232"/>
        </w:trPr>
        <w:tc>
          <w:tcPr>
            <w:tcW w:w="2808" w:type="dxa"/>
          </w:tcPr>
          <w:p w:rsidR="00A103A2" w:rsidRDefault="00A103A2" w:rsidP="00A103A2">
            <w:pPr>
              <w:rPr>
                <w:b/>
                <w:sz w:val="20"/>
                <w:szCs w:val="20"/>
              </w:rPr>
            </w:pPr>
            <w:r>
              <w:rPr>
                <w:b/>
                <w:sz w:val="20"/>
                <w:szCs w:val="20"/>
              </w:rPr>
              <w:t>Planning: instructional methods and activities</w:t>
            </w:r>
          </w:p>
          <w:p w:rsidR="00A103A2" w:rsidRDefault="00CC7CFA" w:rsidP="00A103A2">
            <w:pPr>
              <w:rPr>
                <w:b/>
                <w:sz w:val="20"/>
                <w:szCs w:val="20"/>
              </w:rPr>
            </w:pPr>
            <w:r>
              <w:rPr>
                <w:b/>
                <w:sz w:val="20"/>
                <w:szCs w:val="20"/>
              </w:rPr>
              <w:t>(NSTA 3a, 3</w:t>
            </w:r>
            <w:r w:rsidR="00A103A2">
              <w:rPr>
                <w:b/>
                <w:sz w:val="20"/>
                <w:szCs w:val="20"/>
              </w:rPr>
              <w:t>b)</w:t>
            </w:r>
          </w:p>
          <w:p w:rsidR="00A103A2" w:rsidRDefault="00A103A2" w:rsidP="00A103A2">
            <w:pPr>
              <w:rPr>
                <w:b/>
                <w:sz w:val="20"/>
                <w:szCs w:val="20"/>
              </w:rPr>
            </w:pPr>
          </w:p>
        </w:tc>
        <w:tc>
          <w:tcPr>
            <w:tcW w:w="2272" w:type="dxa"/>
          </w:tcPr>
          <w:p w:rsidR="00A103A2" w:rsidRPr="006A6628" w:rsidRDefault="00A103A2" w:rsidP="00A103A2">
            <w:pPr>
              <w:rPr>
                <w:sz w:val="20"/>
                <w:szCs w:val="20"/>
              </w:rPr>
            </w:pPr>
            <w:r>
              <w:rPr>
                <w:sz w:val="20"/>
                <w:szCs w:val="20"/>
              </w:rPr>
              <w:t xml:space="preserve">Instructional methods and activities are not adequate to meet the objectives. </w:t>
            </w:r>
          </w:p>
        </w:tc>
        <w:tc>
          <w:tcPr>
            <w:tcW w:w="3634" w:type="dxa"/>
          </w:tcPr>
          <w:p w:rsidR="00A103A2" w:rsidRPr="006A6628" w:rsidRDefault="00A103A2" w:rsidP="00A103A2">
            <w:pPr>
              <w:rPr>
                <w:sz w:val="20"/>
                <w:szCs w:val="20"/>
              </w:rPr>
            </w:pPr>
            <w:r>
              <w:rPr>
                <w:sz w:val="20"/>
                <w:szCs w:val="20"/>
              </w:rPr>
              <w:t xml:space="preserve">Activities are connected to the standards, are appropriate for the grade level and content, and support the learning objectives </w:t>
            </w:r>
          </w:p>
        </w:tc>
        <w:tc>
          <w:tcPr>
            <w:tcW w:w="3634" w:type="dxa"/>
          </w:tcPr>
          <w:p w:rsidR="00A103A2" w:rsidRDefault="00A103A2" w:rsidP="00A103A2">
            <w:pPr>
              <w:rPr>
                <w:sz w:val="20"/>
                <w:szCs w:val="20"/>
              </w:rPr>
            </w:pPr>
            <w:r>
              <w:rPr>
                <w:sz w:val="20"/>
                <w:szCs w:val="20"/>
              </w:rPr>
              <w:t xml:space="preserve">Activities are creative and student centered. </w:t>
            </w:r>
          </w:p>
          <w:p w:rsidR="00A103A2" w:rsidRPr="006A6628" w:rsidRDefault="00A103A2" w:rsidP="00A103A2">
            <w:pPr>
              <w:rPr>
                <w:sz w:val="20"/>
                <w:szCs w:val="20"/>
              </w:rPr>
            </w:pPr>
            <w:r>
              <w:rPr>
                <w:sz w:val="20"/>
                <w:szCs w:val="20"/>
              </w:rPr>
              <w:t xml:space="preserve">Reasonable rationale provided for why the instructional methods are chosen. </w:t>
            </w:r>
          </w:p>
        </w:tc>
        <w:tc>
          <w:tcPr>
            <w:tcW w:w="828" w:type="dxa"/>
          </w:tcPr>
          <w:p w:rsidR="00A103A2" w:rsidRPr="006A6628" w:rsidRDefault="00A103A2" w:rsidP="00A103A2">
            <w:pPr>
              <w:rPr>
                <w:sz w:val="20"/>
                <w:szCs w:val="20"/>
              </w:rPr>
            </w:pPr>
          </w:p>
        </w:tc>
      </w:tr>
      <w:tr w:rsidR="00A103A2" w:rsidRPr="006A6628" w:rsidTr="00A103A2">
        <w:trPr>
          <w:trHeight w:val="545"/>
        </w:trPr>
        <w:tc>
          <w:tcPr>
            <w:tcW w:w="2808" w:type="dxa"/>
          </w:tcPr>
          <w:p w:rsidR="00A103A2" w:rsidRDefault="00A103A2" w:rsidP="00A103A2">
            <w:pPr>
              <w:rPr>
                <w:b/>
                <w:sz w:val="20"/>
                <w:szCs w:val="20"/>
              </w:rPr>
            </w:pPr>
            <w:r w:rsidRPr="006A6628">
              <w:rPr>
                <w:b/>
                <w:sz w:val="20"/>
                <w:szCs w:val="20"/>
              </w:rPr>
              <w:t xml:space="preserve">Scientific </w:t>
            </w:r>
            <w:r>
              <w:rPr>
                <w:b/>
                <w:sz w:val="20"/>
                <w:szCs w:val="20"/>
              </w:rPr>
              <w:t>inquiry</w:t>
            </w:r>
          </w:p>
          <w:p w:rsidR="00A103A2" w:rsidRDefault="00A103A2" w:rsidP="00A103A2">
            <w:pPr>
              <w:rPr>
                <w:b/>
                <w:sz w:val="20"/>
                <w:szCs w:val="20"/>
              </w:rPr>
            </w:pPr>
            <w:r>
              <w:rPr>
                <w:b/>
                <w:sz w:val="20"/>
                <w:szCs w:val="20"/>
              </w:rPr>
              <w:t xml:space="preserve">(NSTA </w:t>
            </w:r>
            <w:r w:rsidR="00CC7CFA">
              <w:rPr>
                <w:b/>
                <w:sz w:val="20"/>
                <w:szCs w:val="20"/>
              </w:rPr>
              <w:t>2a, 2</w:t>
            </w:r>
            <w:r>
              <w:rPr>
                <w:b/>
                <w:sz w:val="20"/>
                <w:szCs w:val="20"/>
              </w:rPr>
              <w:t>b)</w:t>
            </w:r>
          </w:p>
          <w:p w:rsidR="00A103A2" w:rsidRPr="006A6628" w:rsidRDefault="00A103A2" w:rsidP="00A103A2">
            <w:pPr>
              <w:rPr>
                <w:b/>
                <w:sz w:val="20"/>
                <w:szCs w:val="20"/>
              </w:rPr>
            </w:pPr>
          </w:p>
        </w:tc>
        <w:tc>
          <w:tcPr>
            <w:tcW w:w="2272" w:type="dxa"/>
          </w:tcPr>
          <w:p w:rsidR="00A103A2" w:rsidRDefault="00A103A2" w:rsidP="00A103A2">
            <w:pPr>
              <w:rPr>
                <w:sz w:val="20"/>
                <w:szCs w:val="20"/>
              </w:rPr>
            </w:pPr>
            <w:r>
              <w:rPr>
                <w:sz w:val="20"/>
                <w:szCs w:val="20"/>
              </w:rPr>
              <w:t>None of the lessons is planned as inquiry, or inquiry is confused with step by step lab work</w:t>
            </w:r>
          </w:p>
          <w:p w:rsidR="00A103A2" w:rsidRPr="006A6628" w:rsidRDefault="00A103A2" w:rsidP="00A103A2">
            <w:pPr>
              <w:rPr>
                <w:sz w:val="20"/>
                <w:szCs w:val="20"/>
              </w:rPr>
            </w:pPr>
          </w:p>
        </w:tc>
        <w:tc>
          <w:tcPr>
            <w:tcW w:w="3634" w:type="dxa"/>
          </w:tcPr>
          <w:p w:rsidR="00A103A2" w:rsidRDefault="00A103A2" w:rsidP="00A103A2">
            <w:pPr>
              <w:rPr>
                <w:sz w:val="20"/>
                <w:szCs w:val="20"/>
              </w:rPr>
            </w:pPr>
            <w:r>
              <w:rPr>
                <w:sz w:val="20"/>
                <w:szCs w:val="20"/>
              </w:rPr>
              <w:t>At least one lesson is well developed as inquiry, where students develop concepts through open or guided inquiry: being engaged in asking questions, making observations, collecting data, and making inferences.</w:t>
            </w:r>
          </w:p>
          <w:p w:rsidR="00A103A2" w:rsidRPr="006A6628" w:rsidRDefault="00A103A2" w:rsidP="00A103A2">
            <w:pPr>
              <w:rPr>
                <w:sz w:val="20"/>
                <w:szCs w:val="20"/>
              </w:rPr>
            </w:pPr>
          </w:p>
        </w:tc>
        <w:tc>
          <w:tcPr>
            <w:tcW w:w="3634" w:type="dxa"/>
          </w:tcPr>
          <w:p w:rsidR="00A103A2" w:rsidRDefault="00A103A2" w:rsidP="00A103A2">
            <w:pPr>
              <w:rPr>
                <w:sz w:val="20"/>
                <w:szCs w:val="20"/>
              </w:rPr>
            </w:pPr>
            <w:r>
              <w:rPr>
                <w:sz w:val="20"/>
                <w:szCs w:val="20"/>
              </w:rPr>
              <w:t xml:space="preserve">Two or more lessons are well developed as inquiry, where students develop concepts through open or guided inquiry: being engaged in asking questions, making observations, collecting data, and making inferences. Or the whole unit is conceived as an inquiry project. </w:t>
            </w:r>
          </w:p>
          <w:p w:rsidR="00A103A2" w:rsidRPr="006A6628" w:rsidRDefault="00A103A2" w:rsidP="00A103A2">
            <w:pPr>
              <w:rPr>
                <w:sz w:val="20"/>
                <w:szCs w:val="20"/>
              </w:rPr>
            </w:pPr>
          </w:p>
        </w:tc>
        <w:tc>
          <w:tcPr>
            <w:tcW w:w="828" w:type="dxa"/>
          </w:tcPr>
          <w:p w:rsidR="00A103A2" w:rsidRPr="006A6628" w:rsidRDefault="00A103A2" w:rsidP="00A103A2">
            <w:pPr>
              <w:rPr>
                <w:sz w:val="20"/>
                <w:szCs w:val="20"/>
              </w:rPr>
            </w:pPr>
          </w:p>
        </w:tc>
      </w:tr>
      <w:tr w:rsidR="00A103A2" w:rsidRPr="006A6628" w:rsidTr="00A103A2">
        <w:trPr>
          <w:trHeight w:val="545"/>
        </w:trPr>
        <w:tc>
          <w:tcPr>
            <w:tcW w:w="2808" w:type="dxa"/>
          </w:tcPr>
          <w:p w:rsidR="00A103A2" w:rsidRDefault="00A103A2" w:rsidP="00A103A2">
            <w:pPr>
              <w:rPr>
                <w:b/>
                <w:sz w:val="20"/>
                <w:szCs w:val="20"/>
              </w:rPr>
            </w:pPr>
            <w:r>
              <w:rPr>
                <w:b/>
                <w:sz w:val="20"/>
                <w:szCs w:val="20"/>
              </w:rPr>
              <w:t>Science-related issues</w:t>
            </w:r>
          </w:p>
          <w:p w:rsidR="00A103A2" w:rsidRDefault="00A103A2" w:rsidP="00A103A2">
            <w:pPr>
              <w:rPr>
                <w:b/>
                <w:sz w:val="20"/>
                <w:szCs w:val="20"/>
              </w:rPr>
            </w:pPr>
            <w:r>
              <w:rPr>
                <w:b/>
                <w:sz w:val="20"/>
                <w:szCs w:val="20"/>
              </w:rPr>
              <w:t xml:space="preserve">(NSTA </w:t>
            </w:r>
            <w:r w:rsidR="00CC7CFA">
              <w:rPr>
                <w:b/>
                <w:sz w:val="20"/>
                <w:szCs w:val="20"/>
              </w:rPr>
              <w:t>2a</w:t>
            </w:r>
            <w:r>
              <w:rPr>
                <w:b/>
                <w:sz w:val="20"/>
                <w:szCs w:val="20"/>
              </w:rPr>
              <w:t>)</w:t>
            </w:r>
          </w:p>
          <w:p w:rsidR="00A103A2" w:rsidRPr="006A6628" w:rsidRDefault="00A103A2" w:rsidP="00A103A2">
            <w:pPr>
              <w:rPr>
                <w:b/>
                <w:sz w:val="20"/>
                <w:szCs w:val="20"/>
              </w:rPr>
            </w:pPr>
          </w:p>
        </w:tc>
        <w:tc>
          <w:tcPr>
            <w:tcW w:w="2272" w:type="dxa"/>
          </w:tcPr>
          <w:p w:rsidR="00A103A2" w:rsidRDefault="00A103A2" w:rsidP="00A103A2">
            <w:pPr>
              <w:rPr>
                <w:sz w:val="20"/>
                <w:szCs w:val="20"/>
              </w:rPr>
            </w:pPr>
            <w:r>
              <w:rPr>
                <w:sz w:val="20"/>
                <w:szCs w:val="20"/>
              </w:rPr>
              <w:t>Science related issues are introduced casually or implied and given no deep treatment.</w:t>
            </w:r>
          </w:p>
          <w:p w:rsidR="00A103A2" w:rsidRPr="006A6628" w:rsidRDefault="00A103A2" w:rsidP="00A103A2">
            <w:pPr>
              <w:rPr>
                <w:sz w:val="20"/>
                <w:szCs w:val="20"/>
              </w:rPr>
            </w:pPr>
          </w:p>
        </w:tc>
        <w:tc>
          <w:tcPr>
            <w:tcW w:w="3634" w:type="dxa"/>
          </w:tcPr>
          <w:p w:rsidR="00A103A2" w:rsidRDefault="00A103A2" w:rsidP="00A103A2">
            <w:pPr>
              <w:rPr>
                <w:sz w:val="20"/>
                <w:szCs w:val="20"/>
              </w:rPr>
            </w:pPr>
            <w:r>
              <w:rPr>
                <w:sz w:val="20"/>
                <w:szCs w:val="20"/>
              </w:rPr>
              <w:t xml:space="preserve">Lessons engage students in analyzing science related issues or problems, separating the science from the non-science. Alternative solutions proposed or multiple values presented and analyzed. </w:t>
            </w:r>
          </w:p>
          <w:p w:rsidR="00A103A2" w:rsidRPr="006A6628" w:rsidRDefault="00A103A2" w:rsidP="00A103A2">
            <w:pPr>
              <w:rPr>
                <w:sz w:val="20"/>
                <w:szCs w:val="20"/>
              </w:rPr>
            </w:pPr>
          </w:p>
        </w:tc>
        <w:tc>
          <w:tcPr>
            <w:tcW w:w="3634" w:type="dxa"/>
          </w:tcPr>
          <w:p w:rsidR="00A103A2" w:rsidRDefault="00A103A2" w:rsidP="00A103A2">
            <w:pPr>
              <w:rPr>
                <w:sz w:val="20"/>
              </w:rPr>
            </w:pPr>
            <w:r>
              <w:rPr>
                <w:sz w:val="20"/>
                <w:szCs w:val="20"/>
              </w:rPr>
              <w:t xml:space="preserve">Lessons engage students in analyzing science related issues or problems, separating the science from the non-science. Alternative solutions proposed or multiple values presented and analyzed. </w:t>
            </w:r>
            <w:r>
              <w:rPr>
                <w:sz w:val="20"/>
              </w:rPr>
              <w:t xml:space="preserve">Decisions are supported with evidence. </w:t>
            </w:r>
          </w:p>
          <w:p w:rsidR="00A103A2" w:rsidRDefault="00A103A2" w:rsidP="00A103A2">
            <w:pPr>
              <w:rPr>
                <w:sz w:val="20"/>
              </w:rPr>
            </w:pPr>
            <w:r>
              <w:rPr>
                <w:sz w:val="20"/>
              </w:rPr>
              <w:t xml:space="preserve">Issues selected are important and relevant to students’ lives. </w:t>
            </w:r>
          </w:p>
          <w:p w:rsidR="00A103A2" w:rsidRPr="006A6628" w:rsidRDefault="00A103A2" w:rsidP="00A103A2">
            <w:pPr>
              <w:rPr>
                <w:sz w:val="20"/>
                <w:szCs w:val="20"/>
              </w:rPr>
            </w:pPr>
          </w:p>
        </w:tc>
        <w:tc>
          <w:tcPr>
            <w:tcW w:w="828" w:type="dxa"/>
          </w:tcPr>
          <w:p w:rsidR="00A103A2" w:rsidRPr="006A6628" w:rsidRDefault="00A103A2" w:rsidP="00A103A2">
            <w:pPr>
              <w:rPr>
                <w:sz w:val="20"/>
                <w:szCs w:val="20"/>
              </w:rPr>
            </w:pPr>
          </w:p>
        </w:tc>
      </w:tr>
      <w:tr w:rsidR="00A103A2" w:rsidRPr="006A6628" w:rsidTr="00A103A2">
        <w:trPr>
          <w:trHeight w:val="545"/>
        </w:trPr>
        <w:tc>
          <w:tcPr>
            <w:tcW w:w="2808" w:type="dxa"/>
          </w:tcPr>
          <w:p w:rsidR="00A103A2" w:rsidRDefault="00A103A2" w:rsidP="00A103A2">
            <w:pPr>
              <w:rPr>
                <w:b/>
                <w:sz w:val="20"/>
                <w:szCs w:val="20"/>
              </w:rPr>
            </w:pPr>
            <w:r>
              <w:rPr>
                <w:b/>
                <w:sz w:val="20"/>
                <w:szCs w:val="20"/>
              </w:rPr>
              <w:t>Assessment</w:t>
            </w:r>
          </w:p>
          <w:p w:rsidR="00A103A2" w:rsidRDefault="00A103A2" w:rsidP="00CC7CFA">
            <w:pPr>
              <w:rPr>
                <w:b/>
                <w:sz w:val="20"/>
                <w:szCs w:val="20"/>
              </w:rPr>
            </w:pPr>
            <w:r>
              <w:rPr>
                <w:b/>
                <w:sz w:val="20"/>
                <w:szCs w:val="20"/>
              </w:rPr>
              <w:t xml:space="preserve">(NSTA, </w:t>
            </w:r>
            <w:r w:rsidR="00CC7CFA">
              <w:rPr>
                <w:b/>
                <w:sz w:val="20"/>
                <w:szCs w:val="20"/>
              </w:rPr>
              <w:t>3c)</w:t>
            </w:r>
          </w:p>
        </w:tc>
        <w:tc>
          <w:tcPr>
            <w:tcW w:w="2272" w:type="dxa"/>
          </w:tcPr>
          <w:p w:rsidR="00A103A2" w:rsidRDefault="00A103A2" w:rsidP="00A103A2">
            <w:pPr>
              <w:rPr>
                <w:sz w:val="20"/>
                <w:szCs w:val="20"/>
              </w:rPr>
            </w:pPr>
            <w:r>
              <w:rPr>
                <w:sz w:val="20"/>
                <w:szCs w:val="20"/>
              </w:rPr>
              <w:t xml:space="preserve">Assessment is not varied (only one type is used), or is not above the knowledge-level for the most part. </w:t>
            </w:r>
          </w:p>
          <w:p w:rsidR="00A103A2" w:rsidRPr="006A6628" w:rsidRDefault="00A103A2" w:rsidP="00A103A2">
            <w:pPr>
              <w:rPr>
                <w:sz w:val="20"/>
                <w:szCs w:val="20"/>
              </w:rPr>
            </w:pPr>
          </w:p>
        </w:tc>
        <w:tc>
          <w:tcPr>
            <w:tcW w:w="3634" w:type="dxa"/>
          </w:tcPr>
          <w:p w:rsidR="00A103A2" w:rsidRDefault="00A103A2" w:rsidP="00A103A2">
            <w:pPr>
              <w:rPr>
                <w:sz w:val="20"/>
                <w:szCs w:val="20"/>
              </w:rPr>
            </w:pPr>
            <w:r>
              <w:rPr>
                <w:sz w:val="20"/>
                <w:szCs w:val="20"/>
              </w:rPr>
              <w:t xml:space="preserve">At least two different assessment strategies are used in the unit. </w:t>
            </w:r>
          </w:p>
          <w:p w:rsidR="00A103A2" w:rsidRDefault="00A103A2" w:rsidP="00A103A2">
            <w:pPr>
              <w:rPr>
                <w:sz w:val="20"/>
                <w:szCs w:val="20"/>
              </w:rPr>
            </w:pPr>
            <w:r>
              <w:rPr>
                <w:sz w:val="20"/>
                <w:szCs w:val="20"/>
              </w:rPr>
              <w:t>Assessment are aligned with the lesson objectives.</w:t>
            </w:r>
          </w:p>
          <w:p w:rsidR="00A103A2" w:rsidRDefault="00A103A2" w:rsidP="00A103A2">
            <w:pPr>
              <w:rPr>
                <w:sz w:val="20"/>
                <w:szCs w:val="20"/>
              </w:rPr>
            </w:pPr>
            <w:r>
              <w:rPr>
                <w:sz w:val="20"/>
                <w:szCs w:val="20"/>
              </w:rPr>
              <w:t xml:space="preserve">Summative assessment at the end of the unit is appropriate. </w:t>
            </w:r>
          </w:p>
          <w:p w:rsidR="00A103A2" w:rsidRPr="006A6628" w:rsidRDefault="00A103A2" w:rsidP="00A103A2">
            <w:pPr>
              <w:rPr>
                <w:sz w:val="20"/>
                <w:szCs w:val="20"/>
              </w:rPr>
            </w:pPr>
          </w:p>
        </w:tc>
        <w:tc>
          <w:tcPr>
            <w:tcW w:w="3634" w:type="dxa"/>
          </w:tcPr>
          <w:p w:rsidR="00A103A2" w:rsidRDefault="00A103A2" w:rsidP="00A103A2">
            <w:pPr>
              <w:rPr>
                <w:sz w:val="20"/>
                <w:szCs w:val="20"/>
              </w:rPr>
            </w:pPr>
            <w:r>
              <w:rPr>
                <w:sz w:val="20"/>
                <w:szCs w:val="20"/>
              </w:rPr>
              <w:t xml:space="preserve">Three or more assessment strategies are used (formative and summative). </w:t>
            </w:r>
          </w:p>
          <w:p w:rsidR="00A103A2" w:rsidRDefault="00A103A2" w:rsidP="00A103A2">
            <w:pPr>
              <w:rPr>
                <w:sz w:val="20"/>
                <w:szCs w:val="20"/>
              </w:rPr>
            </w:pPr>
            <w:r>
              <w:rPr>
                <w:sz w:val="20"/>
                <w:szCs w:val="20"/>
              </w:rPr>
              <w:t xml:space="preserve">Assessments are aligned with the objectives and students are given opportunities to reflect on their own learning (students’ self analysis of their own work). </w:t>
            </w:r>
          </w:p>
          <w:p w:rsidR="00A103A2" w:rsidRPr="006A6628" w:rsidRDefault="00A103A2" w:rsidP="00A103A2">
            <w:pPr>
              <w:rPr>
                <w:sz w:val="20"/>
                <w:szCs w:val="20"/>
              </w:rPr>
            </w:pPr>
          </w:p>
        </w:tc>
        <w:tc>
          <w:tcPr>
            <w:tcW w:w="828" w:type="dxa"/>
          </w:tcPr>
          <w:p w:rsidR="00A103A2" w:rsidRPr="006A6628" w:rsidRDefault="00A103A2" w:rsidP="00A103A2">
            <w:pPr>
              <w:rPr>
                <w:sz w:val="20"/>
                <w:szCs w:val="20"/>
              </w:rPr>
            </w:pPr>
          </w:p>
        </w:tc>
      </w:tr>
      <w:tr w:rsidR="00A103A2" w:rsidRPr="006A6628" w:rsidTr="00A103A2">
        <w:trPr>
          <w:trHeight w:val="545"/>
        </w:trPr>
        <w:tc>
          <w:tcPr>
            <w:tcW w:w="2808" w:type="dxa"/>
          </w:tcPr>
          <w:p w:rsidR="00A103A2" w:rsidRDefault="00A103A2" w:rsidP="00A103A2">
            <w:pPr>
              <w:rPr>
                <w:b/>
                <w:sz w:val="20"/>
                <w:szCs w:val="20"/>
              </w:rPr>
            </w:pPr>
            <w:r>
              <w:rPr>
                <w:b/>
                <w:sz w:val="20"/>
                <w:szCs w:val="20"/>
              </w:rPr>
              <w:t>Science in the community</w:t>
            </w:r>
          </w:p>
          <w:p w:rsidR="00CC7CFA" w:rsidRDefault="00CC7CFA" w:rsidP="00CC7CFA">
            <w:pPr>
              <w:rPr>
                <w:b/>
                <w:sz w:val="20"/>
                <w:szCs w:val="20"/>
              </w:rPr>
            </w:pPr>
          </w:p>
          <w:p w:rsidR="00A103A2" w:rsidRDefault="00A103A2" w:rsidP="00A103A2">
            <w:pPr>
              <w:rPr>
                <w:b/>
                <w:sz w:val="20"/>
                <w:szCs w:val="20"/>
              </w:rPr>
            </w:pPr>
          </w:p>
        </w:tc>
        <w:tc>
          <w:tcPr>
            <w:tcW w:w="2272" w:type="dxa"/>
          </w:tcPr>
          <w:p w:rsidR="00A103A2" w:rsidRDefault="00A103A2" w:rsidP="00A103A2">
            <w:pPr>
              <w:rPr>
                <w:sz w:val="20"/>
                <w:szCs w:val="20"/>
              </w:rPr>
            </w:pPr>
            <w:r>
              <w:rPr>
                <w:sz w:val="20"/>
                <w:szCs w:val="20"/>
              </w:rPr>
              <w:t xml:space="preserve">Community resources are not utilized or do not connect to the unit goals. </w:t>
            </w:r>
          </w:p>
          <w:p w:rsidR="00A103A2" w:rsidRPr="006A6628" w:rsidRDefault="00A103A2" w:rsidP="00A103A2">
            <w:pPr>
              <w:rPr>
                <w:sz w:val="20"/>
                <w:szCs w:val="20"/>
              </w:rPr>
            </w:pPr>
          </w:p>
        </w:tc>
        <w:tc>
          <w:tcPr>
            <w:tcW w:w="3634" w:type="dxa"/>
          </w:tcPr>
          <w:p w:rsidR="00A103A2" w:rsidRPr="0000660F" w:rsidRDefault="00A103A2" w:rsidP="00A103A2">
            <w:pPr>
              <w:pStyle w:val="BodyText"/>
              <w:rPr>
                <w:rFonts w:ascii="Times New Roman" w:hAnsi="Times New Roman" w:cs="Times New Roman"/>
                <w:sz w:val="20"/>
                <w:szCs w:val="20"/>
              </w:rPr>
            </w:pPr>
            <w:r w:rsidRPr="0000660F">
              <w:rPr>
                <w:rFonts w:ascii="Times New Roman" w:hAnsi="Times New Roman" w:cs="Times New Roman"/>
                <w:sz w:val="20"/>
                <w:szCs w:val="20"/>
              </w:rPr>
              <w:t xml:space="preserve">Community </w:t>
            </w:r>
            <w:r>
              <w:rPr>
                <w:rFonts w:ascii="Times New Roman" w:hAnsi="Times New Roman" w:cs="Times New Roman"/>
                <w:sz w:val="20"/>
                <w:szCs w:val="20"/>
              </w:rPr>
              <w:t xml:space="preserve">resources are utilized, but may not explicitly tie </w:t>
            </w:r>
            <w:r w:rsidRPr="0000660F">
              <w:rPr>
                <w:rFonts w:ascii="Times New Roman" w:hAnsi="Times New Roman" w:cs="Times New Roman"/>
                <w:sz w:val="20"/>
                <w:szCs w:val="20"/>
              </w:rPr>
              <w:t xml:space="preserve">to </w:t>
            </w:r>
            <w:r>
              <w:rPr>
                <w:rFonts w:ascii="Times New Roman" w:hAnsi="Times New Roman" w:cs="Times New Roman"/>
                <w:sz w:val="20"/>
                <w:szCs w:val="20"/>
              </w:rPr>
              <w:t>unit goals and objectives</w:t>
            </w:r>
            <w:r w:rsidRPr="0000660F">
              <w:rPr>
                <w:rFonts w:ascii="Times New Roman" w:hAnsi="Times New Roman" w:cs="Times New Roman"/>
                <w:sz w:val="20"/>
                <w:szCs w:val="20"/>
              </w:rPr>
              <w:t>.</w:t>
            </w:r>
          </w:p>
          <w:p w:rsidR="00A103A2" w:rsidRPr="006A6628" w:rsidRDefault="00A103A2" w:rsidP="00A103A2">
            <w:pPr>
              <w:rPr>
                <w:sz w:val="20"/>
                <w:szCs w:val="20"/>
              </w:rPr>
            </w:pPr>
          </w:p>
        </w:tc>
        <w:tc>
          <w:tcPr>
            <w:tcW w:w="3634" w:type="dxa"/>
          </w:tcPr>
          <w:p w:rsidR="00A103A2" w:rsidRPr="0000660F" w:rsidRDefault="00A103A2" w:rsidP="00A103A2">
            <w:pPr>
              <w:pStyle w:val="BodyText"/>
              <w:rPr>
                <w:rFonts w:ascii="Times New Roman" w:hAnsi="Times New Roman" w:cs="Times New Roman"/>
                <w:sz w:val="20"/>
                <w:szCs w:val="20"/>
              </w:rPr>
            </w:pPr>
            <w:r w:rsidRPr="0000660F">
              <w:rPr>
                <w:rFonts w:ascii="Times New Roman" w:hAnsi="Times New Roman" w:cs="Times New Roman"/>
                <w:sz w:val="20"/>
                <w:szCs w:val="20"/>
              </w:rPr>
              <w:t xml:space="preserve">Community resources (museums, guest speakers, etc.) are utilized; these resources clearly advance the </w:t>
            </w:r>
            <w:r>
              <w:rPr>
                <w:rFonts w:ascii="Times New Roman" w:hAnsi="Times New Roman" w:cs="Times New Roman"/>
                <w:sz w:val="20"/>
                <w:szCs w:val="20"/>
              </w:rPr>
              <w:t>Unit goals and objectives and help familiarize students with unique situations or opportunities in the local area</w:t>
            </w:r>
            <w:r w:rsidRPr="0000660F">
              <w:rPr>
                <w:rFonts w:ascii="Times New Roman" w:hAnsi="Times New Roman" w:cs="Times New Roman"/>
                <w:sz w:val="20"/>
                <w:szCs w:val="20"/>
              </w:rPr>
              <w:t>.</w:t>
            </w:r>
          </w:p>
          <w:p w:rsidR="00A103A2" w:rsidRPr="006A6628" w:rsidRDefault="00A103A2" w:rsidP="00A103A2">
            <w:pPr>
              <w:rPr>
                <w:sz w:val="20"/>
                <w:szCs w:val="20"/>
              </w:rPr>
            </w:pPr>
          </w:p>
        </w:tc>
        <w:tc>
          <w:tcPr>
            <w:tcW w:w="828" w:type="dxa"/>
          </w:tcPr>
          <w:p w:rsidR="00A103A2" w:rsidRPr="006A6628" w:rsidRDefault="00A103A2" w:rsidP="00A103A2">
            <w:pPr>
              <w:rPr>
                <w:sz w:val="20"/>
                <w:szCs w:val="20"/>
              </w:rPr>
            </w:pPr>
          </w:p>
        </w:tc>
      </w:tr>
      <w:tr w:rsidR="00A103A2" w:rsidRPr="006A6628" w:rsidTr="00A103A2">
        <w:trPr>
          <w:trHeight w:val="545"/>
        </w:trPr>
        <w:tc>
          <w:tcPr>
            <w:tcW w:w="2808" w:type="dxa"/>
          </w:tcPr>
          <w:p w:rsidR="00A103A2" w:rsidRDefault="00A103A2" w:rsidP="00A103A2">
            <w:pPr>
              <w:rPr>
                <w:b/>
                <w:sz w:val="20"/>
                <w:szCs w:val="20"/>
              </w:rPr>
            </w:pPr>
            <w:r>
              <w:rPr>
                <w:b/>
                <w:sz w:val="20"/>
                <w:szCs w:val="20"/>
              </w:rPr>
              <w:t>Mechanics and Organization</w:t>
            </w:r>
          </w:p>
          <w:p w:rsidR="00A103A2" w:rsidRDefault="00A103A2" w:rsidP="00CC7CFA">
            <w:pPr>
              <w:rPr>
                <w:b/>
                <w:sz w:val="20"/>
                <w:szCs w:val="20"/>
              </w:rPr>
            </w:pPr>
          </w:p>
        </w:tc>
        <w:tc>
          <w:tcPr>
            <w:tcW w:w="2272" w:type="dxa"/>
          </w:tcPr>
          <w:p w:rsidR="00A103A2" w:rsidRDefault="00A103A2" w:rsidP="00A103A2">
            <w:pPr>
              <w:rPr>
                <w:sz w:val="20"/>
                <w:szCs w:val="20"/>
              </w:rPr>
            </w:pPr>
            <w:r>
              <w:rPr>
                <w:sz w:val="20"/>
                <w:szCs w:val="20"/>
              </w:rPr>
              <w:t xml:space="preserve">Unit is weak and not internally coherent. </w:t>
            </w:r>
          </w:p>
          <w:p w:rsidR="00A103A2" w:rsidRPr="006A6628" w:rsidRDefault="00A103A2" w:rsidP="00A103A2">
            <w:pPr>
              <w:rPr>
                <w:sz w:val="20"/>
                <w:szCs w:val="20"/>
              </w:rPr>
            </w:pPr>
            <w:r>
              <w:rPr>
                <w:sz w:val="20"/>
                <w:szCs w:val="20"/>
              </w:rPr>
              <w:t>Many spelling and grammar mistakes.</w:t>
            </w:r>
          </w:p>
        </w:tc>
        <w:tc>
          <w:tcPr>
            <w:tcW w:w="3634" w:type="dxa"/>
          </w:tcPr>
          <w:p w:rsidR="00A103A2" w:rsidRDefault="00A103A2" w:rsidP="00A103A2">
            <w:pPr>
              <w:rPr>
                <w:sz w:val="20"/>
                <w:szCs w:val="20"/>
              </w:rPr>
            </w:pPr>
            <w:r>
              <w:rPr>
                <w:sz w:val="20"/>
                <w:szCs w:val="20"/>
              </w:rPr>
              <w:t xml:space="preserve">Unit is internally coherent. </w:t>
            </w:r>
          </w:p>
          <w:p w:rsidR="00A103A2" w:rsidRDefault="00A103A2" w:rsidP="00A103A2">
            <w:pPr>
              <w:rPr>
                <w:sz w:val="20"/>
                <w:szCs w:val="20"/>
              </w:rPr>
            </w:pPr>
            <w:r>
              <w:rPr>
                <w:sz w:val="20"/>
                <w:szCs w:val="20"/>
              </w:rPr>
              <w:t xml:space="preserve">Few grammar and spelling mistakes. </w:t>
            </w:r>
          </w:p>
          <w:p w:rsidR="00A103A2" w:rsidRPr="006A6628" w:rsidRDefault="00A103A2" w:rsidP="00A103A2">
            <w:pPr>
              <w:rPr>
                <w:sz w:val="20"/>
                <w:szCs w:val="20"/>
              </w:rPr>
            </w:pPr>
          </w:p>
        </w:tc>
        <w:tc>
          <w:tcPr>
            <w:tcW w:w="3634" w:type="dxa"/>
          </w:tcPr>
          <w:p w:rsidR="00A103A2" w:rsidRDefault="00A103A2" w:rsidP="00A103A2">
            <w:pPr>
              <w:rPr>
                <w:sz w:val="20"/>
                <w:szCs w:val="20"/>
              </w:rPr>
            </w:pPr>
            <w:r>
              <w:rPr>
                <w:sz w:val="20"/>
                <w:szCs w:val="20"/>
              </w:rPr>
              <w:t xml:space="preserve">Unit scope and sequence flows very well. </w:t>
            </w:r>
          </w:p>
          <w:p w:rsidR="00A103A2" w:rsidRDefault="00A103A2" w:rsidP="00A103A2">
            <w:pPr>
              <w:rPr>
                <w:sz w:val="20"/>
                <w:szCs w:val="20"/>
              </w:rPr>
            </w:pPr>
            <w:r>
              <w:rPr>
                <w:sz w:val="20"/>
                <w:szCs w:val="20"/>
              </w:rPr>
              <w:t xml:space="preserve">No grammar and spelling mistakes. </w:t>
            </w:r>
          </w:p>
          <w:p w:rsidR="00A103A2" w:rsidRPr="006A6628" w:rsidRDefault="00A103A2" w:rsidP="00A103A2">
            <w:pPr>
              <w:rPr>
                <w:sz w:val="20"/>
                <w:szCs w:val="20"/>
              </w:rPr>
            </w:pPr>
          </w:p>
        </w:tc>
        <w:tc>
          <w:tcPr>
            <w:tcW w:w="828" w:type="dxa"/>
          </w:tcPr>
          <w:p w:rsidR="00A103A2" w:rsidRPr="006A6628" w:rsidRDefault="00A103A2" w:rsidP="00A103A2">
            <w:pPr>
              <w:rPr>
                <w:sz w:val="20"/>
                <w:szCs w:val="20"/>
              </w:rPr>
            </w:pPr>
          </w:p>
        </w:tc>
      </w:tr>
      <w:tr w:rsidR="00A103A2" w:rsidRPr="006A6628" w:rsidTr="00A103A2">
        <w:trPr>
          <w:trHeight w:val="545"/>
        </w:trPr>
        <w:tc>
          <w:tcPr>
            <w:tcW w:w="2808" w:type="dxa"/>
          </w:tcPr>
          <w:p w:rsidR="00A103A2" w:rsidRDefault="00CC7CFA" w:rsidP="00A103A2">
            <w:pPr>
              <w:rPr>
                <w:b/>
                <w:sz w:val="20"/>
                <w:szCs w:val="20"/>
              </w:rPr>
            </w:pPr>
            <w:r>
              <w:rPr>
                <w:b/>
                <w:sz w:val="20"/>
                <w:szCs w:val="20"/>
              </w:rPr>
              <w:t xml:space="preserve">Total Points </w:t>
            </w:r>
          </w:p>
        </w:tc>
        <w:tc>
          <w:tcPr>
            <w:tcW w:w="2272" w:type="dxa"/>
          </w:tcPr>
          <w:p w:rsidR="00A103A2" w:rsidRDefault="00A103A2" w:rsidP="00A103A2">
            <w:pPr>
              <w:rPr>
                <w:sz w:val="20"/>
                <w:szCs w:val="20"/>
              </w:rPr>
            </w:pPr>
          </w:p>
        </w:tc>
        <w:tc>
          <w:tcPr>
            <w:tcW w:w="3634" w:type="dxa"/>
          </w:tcPr>
          <w:p w:rsidR="00A103A2" w:rsidRDefault="00A103A2" w:rsidP="00A103A2">
            <w:pPr>
              <w:rPr>
                <w:sz w:val="20"/>
                <w:szCs w:val="20"/>
              </w:rPr>
            </w:pPr>
          </w:p>
        </w:tc>
        <w:tc>
          <w:tcPr>
            <w:tcW w:w="3634" w:type="dxa"/>
          </w:tcPr>
          <w:p w:rsidR="00A103A2" w:rsidRDefault="00A103A2" w:rsidP="00A103A2">
            <w:pPr>
              <w:rPr>
                <w:sz w:val="20"/>
                <w:szCs w:val="20"/>
              </w:rPr>
            </w:pPr>
          </w:p>
        </w:tc>
        <w:tc>
          <w:tcPr>
            <w:tcW w:w="828" w:type="dxa"/>
          </w:tcPr>
          <w:p w:rsidR="00A103A2" w:rsidRPr="006A6628" w:rsidRDefault="00A103A2" w:rsidP="00A103A2">
            <w:pPr>
              <w:rPr>
                <w:sz w:val="20"/>
                <w:szCs w:val="20"/>
              </w:rPr>
            </w:pPr>
          </w:p>
        </w:tc>
      </w:tr>
    </w:tbl>
    <w:p w:rsidR="00A103A2" w:rsidRDefault="00A103A2" w:rsidP="00A103A2"/>
    <w:p w:rsidR="00A103A2" w:rsidRDefault="00A103A2" w:rsidP="00A103A2">
      <w:pPr>
        <w:pStyle w:val="ListParagraph"/>
      </w:pPr>
    </w:p>
    <w:p w:rsidR="00A103A2" w:rsidRDefault="00A103A2" w:rsidP="007362BD">
      <w:pPr>
        <w:pStyle w:val="ListParagraph"/>
      </w:pPr>
    </w:p>
    <w:sectPr w:rsidR="00A103A2" w:rsidSect="00A103A2">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6821"/>
    <w:multiLevelType w:val="hybridMultilevel"/>
    <w:tmpl w:val="1AF0CA50"/>
    <w:lvl w:ilvl="0" w:tplc="04090013">
      <w:start w:val="1"/>
      <w:numFmt w:val="upp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1C0121"/>
    <w:multiLevelType w:val="hybridMultilevel"/>
    <w:tmpl w:val="098825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E65F20"/>
    <w:multiLevelType w:val="hybridMultilevel"/>
    <w:tmpl w:val="1966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634A46"/>
    <w:multiLevelType w:val="hybridMultilevel"/>
    <w:tmpl w:val="B7282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savePreviewPicture/>
  <w:compat>
    <w:useFELayout/>
  </w:compat>
  <w:rsids>
    <w:rsidRoot w:val="007362BD"/>
    <w:rsid w:val="00026BED"/>
    <w:rsid w:val="00091CCB"/>
    <w:rsid w:val="001C7A72"/>
    <w:rsid w:val="00494988"/>
    <w:rsid w:val="0052203B"/>
    <w:rsid w:val="0064674F"/>
    <w:rsid w:val="006A0A70"/>
    <w:rsid w:val="006A27F6"/>
    <w:rsid w:val="007362BD"/>
    <w:rsid w:val="00746199"/>
    <w:rsid w:val="007971CC"/>
    <w:rsid w:val="007B7314"/>
    <w:rsid w:val="00825BBB"/>
    <w:rsid w:val="00924E4E"/>
    <w:rsid w:val="00945969"/>
    <w:rsid w:val="009C0502"/>
    <w:rsid w:val="00A103A2"/>
    <w:rsid w:val="00AD3780"/>
    <w:rsid w:val="00B9450C"/>
    <w:rsid w:val="00B95459"/>
    <w:rsid w:val="00BB2B6A"/>
    <w:rsid w:val="00C7205F"/>
    <w:rsid w:val="00CC7CFA"/>
    <w:rsid w:val="00D12693"/>
    <w:rsid w:val="00D17289"/>
    <w:rsid w:val="00D46566"/>
    <w:rsid w:val="00E054DA"/>
    <w:rsid w:val="00EE48BC"/>
    <w:rsid w:val="00F23DEF"/>
    <w:rsid w:val="00FE3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BD"/>
    <w:pPr>
      <w:ind w:left="720"/>
      <w:contextualSpacing/>
    </w:pPr>
  </w:style>
  <w:style w:type="paragraph" w:styleId="BodyText">
    <w:name w:val="Body Text"/>
    <w:basedOn w:val="Normal"/>
    <w:link w:val="BodyTextChar"/>
    <w:rsid w:val="00A103A2"/>
    <w:rPr>
      <w:rFonts w:ascii="Tahoma" w:hAnsi="Tahoma" w:cs="Tahoma"/>
      <w:bCs/>
      <w:sz w:val="22"/>
      <w:szCs w:val="22"/>
    </w:rPr>
  </w:style>
  <w:style w:type="character" w:customStyle="1" w:styleId="BodyTextChar">
    <w:name w:val="Body Text Char"/>
    <w:basedOn w:val="DefaultParagraphFont"/>
    <w:link w:val="BodyText"/>
    <w:rsid w:val="00A103A2"/>
    <w:rPr>
      <w:rFonts w:ascii="Tahoma" w:eastAsia="Times New Roman" w:hAnsi="Tahoma" w:cs="Tahoma"/>
      <w:bCs/>
      <w:sz w:val="22"/>
      <w:szCs w:val="22"/>
    </w:rPr>
  </w:style>
  <w:style w:type="character" w:styleId="Hyperlink">
    <w:name w:val="Hyperlink"/>
    <w:basedOn w:val="DefaultParagraphFont"/>
    <w:uiPriority w:val="99"/>
    <w:unhideWhenUsed/>
    <w:rsid w:val="00B9450C"/>
    <w:rPr>
      <w:color w:val="0000FF" w:themeColor="hyperlink"/>
      <w:u w:val="single"/>
    </w:rPr>
  </w:style>
  <w:style w:type="character" w:styleId="FollowedHyperlink">
    <w:name w:val="FollowedHyperlink"/>
    <w:basedOn w:val="DefaultParagraphFont"/>
    <w:uiPriority w:val="99"/>
    <w:semiHidden/>
    <w:unhideWhenUsed/>
    <w:rsid w:val="00B9450C"/>
    <w:rPr>
      <w:color w:val="800080" w:themeColor="followedHyperlink"/>
      <w:u w:val="single"/>
    </w:rPr>
  </w:style>
  <w:style w:type="table" w:styleId="TableGrid">
    <w:name w:val="Table Grid"/>
    <w:basedOn w:val="TableNormal"/>
    <w:uiPriority w:val="59"/>
    <w:rsid w:val="00646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ta.org/about/positions/societalpersonalissu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990</Words>
  <Characters>5644</Characters>
  <Application>Microsoft Office Word</Application>
  <DocSecurity>0</DocSecurity>
  <Lines>47</Lines>
  <Paragraphs>13</Paragraphs>
  <ScaleCrop>false</ScaleCrop>
  <Company>The University of Akron</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Nidaa Makki</dc:creator>
  <cp:lastModifiedBy>klish</cp:lastModifiedBy>
  <cp:revision>3</cp:revision>
  <dcterms:created xsi:type="dcterms:W3CDTF">2020-03-13T19:43:00Z</dcterms:created>
  <dcterms:modified xsi:type="dcterms:W3CDTF">2020-03-13T19:43:00Z</dcterms:modified>
</cp:coreProperties>
</file>