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DC" w:rsidRPr="00265ADC" w:rsidRDefault="00265ADC" w:rsidP="00265ADC">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265ADC">
        <w:rPr>
          <w:rFonts w:ascii="&amp;quot" w:eastAsia="Times New Roman" w:hAnsi="&amp;quot" w:cs="Times New Roman"/>
          <w:color w:val="FFFFFF"/>
          <w:kern w:val="36"/>
          <w:sz w:val="36"/>
          <w:szCs w:val="36"/>
          <w:lang w:eastAsia="en-GB"/>
        </w:rPr>
        <w:t>Week 5: Week at a Glance</w:t>
      </w:r>
    </w:p>
    <w:p w:rsidR="00265ADC" w:rsidRPr="00265ADC" w:rsidRDefault="00CA1CE1" w:rsidP="00265ADC">
      <w:pPr>
        <w:spacing w:after="0" w:line="240" w:lineRule="auto"/>
        <w:rPr>
          <w:rFonts w:ascii="Arial" w:eastAsia="Times New Roman" w:hAnsi="Arial" w:cs="Arial"/>
          <w:color w:val="2D3B45"/>
          <w:sz w:val="19"/>
          <w:szCs w:val="19"/>
          <w:lang w:eastAsia="en-GB"/>
        </w:rPr>
      </w:pPr>
      <w:hyperlink r:id="rId5" w:history="1">
        <w:r w:rsidR="00265ADC" w:rsidRPr="00265ADC">
          <w:rPr>
            <w:rFonts w:ascii="Arial" w:eastAsia="Times New Roman" w:hAnsi="Arial" w:cs="Arial"/>
            <w:color w:val="2D3B45"/>
            <w:sz w:val="19"/>
            <w:u w:val="single"/>
            <w:lang w:eastAsia="en-GB"/>
          </w:rPr>
          <w:t>Table of Contents</w:t>
        </w:r>
      </w:hyperlink>
    </w:p>
    <w:p w:rsidR="00265ADC" w:rsidRPr="00265ADC" w:rsidRDefault="00265ADC" w:rsidP="00265ADC">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265ADC">
        <w:rPr>
          <w:rFonts w:ascii="&amp;quot" w:eastAsia="Times New Roman" w:hAnsi="&amp;quot" w:cs="Arial"/>
          <w:color w:val="333333"/>
          <w:sz w:val="29"/>
          <w:szCs w:val="29"/>
          <w:lang w:eastAsia="en-GB"/>
        </w:rPr>
        <w:t>Welcome to Week 5!</w:t>
      </w:r>
    </w:p>
    <w:p w:rsidR="00265ADC" w:rsidRPr="00265ADC" w:rsidRDefault="00265ADC" w:rsidP="00265ADC">
      <w:pPr>
        <w:shd w:val="clear" w:color="auto" w:fill="FFFFFF"/>
        <w:spacing w:before="144" w:after="144" w:line="240" w:lineRule="auto"/>
        <w:rPr>
          <w:rFonts w:ascii="Arial" w:eastAsia="Times New Roman" w:hAnsi="Arial" w:cs="Arial"/>
          <w:color w:val="2D3B45"/>
          <w:sz w:val="19"/>
          <w:szCs w:val="19"/>
          <w:lang w:eastAsia="en-GB"/>
        </w:rPr>
      </w:pPr>
      <w:r w:rsidRPr="00265ADC">
        <w:rPr>
          <w:rFonts w:ascii="Arial" w:eastAsia="Times New Roman" w:hAnsi="Arial" w:cs="Arial"/>
          <w:color w:val="2D3B45"/>
          <w:sz w:val="19"/>
          <w:szCs w:val="19"/>
          <w:lang w:eastAsia="en-GB"/>
        </w:rPr>
        <w:t xml:space="preserve">Healthcare systems in the 21st century are complex, fluid, and flexible. The complex nature of current and future health care systems shapes the nurse's knowledge and skills needed to practice in the system. The American Association of </w:t>
      </w:r>
      <w:r>
        <w:rPr>
          <w:rFonts w:ascii="Arial" w:eastAsia="Times New Roman" w:hAnsi="Arial" w:cs="Arial"/>
          <w:noProof/>
          <w:color w:val="2D3B45"/>
          <w:sz w:val="19"/>
          <w:szCs w:val="19"/>
          <w:lang w:val="en-US"/>
        </w:rPr>
        <w:drawing>
          <wp:inline distT="0" distB="0" distL="0" distR="0">
            <wp:extent cx="6896100" cy="46024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6896100" cy="4602480"/>
                    </a:xfrm>
                    <a:prstGeom prst="rect">
                      <a:avLst/>
                    </a:prstGeom>
                    <a:noFill/>
                    <a:ln w="9525">
                      <a:noFill/>
                      <a:miter lim="800000"/>
                      <a:headEnd/>
                      <a:tailEnd/>
                    </a:ln>
                  </pic:spPr>
                </pic:pic>
              </a:graphicData>
            </a:graphic>
          </wp:inline>
        </w:drawing>
      </w:r>
      <w:r w:rsidRPr="00265ADC">
        <w:rPr>
          <w:rFonts w:ascii="Arial" w:eastAsia="Times New Roman" w:hAnsi="Arial" w:cs="Arial"/>
          <w:color w:val="2D3B45"/>
          <w:sz w:val="19"/>
          <w:szCs w:val="19"/>
          <w:lang w:eastAsia="en-GB"/>
        </w:rPr>
        <w:t xml:space="preserve">Colleges of Nursing (AACN) emphasizes that master's-prepared advanced practice nurses must have foundational knowledge and skills in complexity science and systems thinking to communicate effectively and improve practice outcomes (2011). The National League for Nurses (2012) also explains the importance of using systems thinking to facilitate interprofessional team function and to support optimal health outcomes. This week, students will be introduced to complex adaptive systems. Different levels of systems will be introduced with an emphasis on systems thinking skills needed to flourish in complex adaptive systems. Students will also examine different NP practice models. </w:t>
      </w:r>
      <w:r w:rsidRPr="00265ADC">
        <w:rPr>
          <w:rFonts w:ascii="Arial" w:eastAsia="Times New Roman" w:hAnsi="Arial" w:cs="Arial"/>
          <w:color w:val="2D3B45"/>
          <w:sz w:val="19"/>
          <w:szCs w:val="19"/>
          <w:lang w:eastAsia="en-GB"/>
        </w:rPr>
        <w:br/>
      </w:r>
    </w:p>
    <w:p w:rsidR="00265ADC" w:rsidRPr="00265ADC" w:rsidRDefault="00265ADC" w:rsidP="00265ADC">
      <w:pPr>
        <w:pBdr>
          <w:bottom w:val="single" w:sz="12" w:space="0" w:color="2D9CA0"/>
        </w:pBdr>
        <w:shd w:val="clear" w:color="auto" w:fill="FFFFFF"/>
        <w:spacing w:before="72" w:after="144" w:line="336" w:lineRule="atLeast"/>
        <w:outlineLvl w:val="1"/>
        <w:rPr>
          <w:rFonts w:ascii="&amp;quot" w:eastAsia="Times New Roman" w:hAnsi="&amp;quot" w:cs="Arial"/>
          <w:color w:val="333333"/>
          <w:sz w:val="29"/>
          <w:szCs w:val="29"/>
          <w:lang w:eastAsia="en-GB"/>
        </w:rPr>
      </w:pPr>
      <w:r w:rsidRPr="00265ADC">
        <w:rPr>
          <w:rFonts w:ascii="&amp;quot" w:eastAsia="Times New Roman" w:hAnsi="&amp;quot" w:cs="Arial"/>
          <w:color w:val="333333"/>
          <w:sz w:val="29"/>
          <w:szCs w:val="29"/>
          <w:lang w:eastAsia="en-GB"/>
        </w:rPr>
        <w:t>Outcomes, Objectives, and Concepts</w:t>
      </w:r>
    </w:p>
    <w:tbl>
      <w:tblPr>
        <w:tblW w:w="5000" w:type="pct"/>
        <w:tblCellMar>
          <w:top w:w="15" w:type="dxa"/>
          <w:left w:w="15" w:type="dxa"/>
          <w:bottom w:w="15" w:type="dxa"/>
          <w:right w:w="15" w:type="dxa"/>
        </w:tblCellMar>
        <w:tblLook w:val="04A0"/>
      </w:tblPr>
      <w:tblGrid>
        <w:gridCol w:w="3751"/>
        <w:gridCol w:w="4007"/>
        <w:gridCol w:w="1460"/>
      </w:tblGrid>
      <w:tr w:rsidR="00265ADC" w:rsidRPr="00265ADC" w:rsidTr="00265ADC">
        <w:trPr>
          <w:tblHeader/>
        </w:trPr>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265ADC" w:rsidRPr="00265ADC" w:rsidRDefault="00265ADC" w:rsidP="00265ADC">
            <w:pPr>
              <w:spacing w:after="0" w:line="240" w:lineRule="auto"/>
              <w:rPr>
                <w:rFonts w:ascii="Times New Roman" w:eastAsia="Times New Roman" w:hAnsi="Times New Roman" w:cs="Times New Roman"/>
                <w:b/>
                <w:bCs/>
                <w:color w:val="2D3B45"/>
                <w:sz w:val="24"/>
                <w:szCs w:val="24"/>
                <w:lang w:eastAsia="en-GB"/>
              </w:rPr>
            </w:pPr>
            <w:r w:rsidRPr="00265ADC">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265ADC" w:rsidRPr="00265ADC" w:rsidRDefault="00265ADC" w:rsidP="00265ADC">
            <w:pPr>
              <w:spacing w:after="0" w:line="240" w:lineRule="auto"/>
              <w:rPr>
                <w:rFonts w:ascii="Times New Roman" w:eastAsia="Times New Roman" w:hAnsi="Times New Roman" w:cs="Times New Roman"/>
                <w:b/>
                <w:bCs/>
                <w:color w:val="2D3B45"/>
                <w:sz w:val="24"/>
                <w:szCs w:val="24"/>
                <w:lang w:eastAsia="en-GB"/>
              </w:rPr>
            </w:pPr>
            <w:r w:rsidRPr="00265ADC">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96" w:type="dxa"/>
              <w:left w:w="96" w:type="dxa"/>
              <w:bottom w:w="96" w:type="dxa"/>
              <w:right w:w="96" w:type="dxa"/>
            </w:tcMar>
            <w:vAlign w:val="center"/>
            <w:hideMark/>
          </w:tcPr>
          <w:p w:rsidR="00265ADC" w:rsidRPr="00265ADC" w:rsidRDefault="00265ADC" w:rsidP="00265ADC">
            <w:pPr>
              <w:spacing w:after="0" w:line="240" w:lineRule="auto"/>
              <w:rPr>
                <w:rFonts w:ascii="Times New Roman" w:eastAsia="Times New Roman" w:hAnsi="Times New Roman" w:cs="Times New Roman"/>
                <w:b/>
                <w:bCs/>
                <w:color w:val="2D3B45"/>
                <w:sz w:val="24"/>
                <w:szCs w:val="24"/>
                <w:lang w:eastAsia="en-GB"/>
              </w:rPr>
            </w:pPr>
            <w:r w:rsidRPr="00265ADC">
              <w:rPr>
                <w:rFonts w:ascii="Times New Roman" w:eastAsia="Times New Roman" w:hAnsi="Times New Roman" w:cs="Times New Roman"/>
                <w:b/>
                <w:bCs/>
                <w:color w:val="2D3B45"/>
                <w:sz w:val="24"/>
                <w:szCs w:val="24"/>
                <w:lang w:eastAsia="en-GB"/>
              </w:rPr>
              <w:t> Main Topics and Concepts</w:t>
            </w:r>
          </w:p>
        </w:tc>
      </w:tr>
      <w:tr w:rsidR="00265ADC" w:rsidRPr="00265ADC" w:rsidTr="00265ADC">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265ADC" w:rsidRPr="00265ADC" w:rsidRDefault="00265ADC" w:rsidP="00265ADC">
            <w:pPr>
              <w:numPr>
                <w:ilvl w:val="0"/>
                <w:numId w:val="1"/>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 xml:space="preserve">Examine roles and competencies of </w:t>
            </w:r>
            <w:r w:rsidRPr="00265ADC">
              <w:rPr>
                <w:rFonts w:ascii="Times New Roman" w:eastAsia="Times New Roman" w:hAnsi="Times New Roman" w:cs="Times New Roman"/>
                <w:color w:val="2D3B45"/>
                <w:sz w:val="24"/>
                <w:szCs w:val="24"/>
                <w:lang w:eastAsia="en-GB"/>
              </w:rPr>
              <w:lastRenderedPageBreak/>
              <w:t>advanced practice nurses essential to performing as leaders and advocates of holistic, safe, and quality care. (PO 5)</w:t>
            </w:r>
          </w:p>
          <w:p w:rsidR="00265ADC" w:rsidRPr="00265ADC" w:rsidRDefault="00265ADC" w:rsidP="00265ADC">
            <w:pPr>
              <w:numPr>
                <w:ilvl w:val="0"/>
                <w:numId w:val="2"/>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Analyze essential skills needed to lead within the context of complex systems. (PO2, PO3)</w:t>
            </w:r>
          </w:p>
        </w:tc>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265ADC" w:rsidRPr="00265ADC" w:rsidRDefault="00265ADC" w:rsidP="00265ADC">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lastRenderedPageBreak/>
              <w:t xml:space="preserve">Identify knowledge, skills, and </w:t>
            </w:r>
            <w:r w:rsidRPr="00265ADC">
              <w:rPr>
                <w:rFonts w:ascii="Times New Roman" w:eastAsia="Times New Roman" w:hAnsi="Times New Roman" w:cs="Times New Roman"/>
                <w:color w:val="2D3B45"/>
                <w:sz w:val="24"/>
                <w:szCs w:val="24"/>
                <w:lang w:eastAsia="en-GB"/>
              </w:rPr>
              <w:lastRenderedPageBreak/>
              <w:t>attitudes of master's-prepared nurses necessary to flourish within complex adaptive healthcare systems. (CO1, CO3)</w:t>
            </w:r>
          </w:p>
          <w:p w:rsidR="00265ADC" w:rsidRPr="00265ADC" w:rsidRDefault="00265ADC" w:rsidP="00265ADC">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Describe possible NP practice models. (CO1)</w:t>
            </w:r>
          </w:p>
          <w:p w:rsidR="00265ADC" w:rsidRPr="00265ADC" w:rsidRDefault="00265ADC" w:rsidP="00265ADC">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Identify concepts of complex adaptive systems. (CO3)</w:t>
            </w:r>
          </w:p>
          <w:p w:rsidR="00265ADC" w:rsidRPr="00265ADC" w:rsidRDefault="00265ADC" w:rsidP="00265ADC">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Differentiate between the levels of systems within the healthcare environment. (CO3)</w:t>
            </w:r>
          </w:p>
          <w:p w:rsidR="00265ADC" w:rsidRPr="00265ADC" w:rsidRDefault="00265ADC" w:rsidP="00265ADC">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Apply complexity science and systems thinking to an issue in a selected practice setting. (CO3)</w:t>
            </w:r>
          </w:p>
        </w:tc>
        <w:tc>
          <w:tcPr>
            <w:tcW w:w="0" w:type="auto"/>
            <w:tcBorders>
              <w:top w:val="single" w:sz="4" w:space="0" w:color="2D9CA0"/>
              <w:left w:val="single" w:sz="4" w:space="0" w:color="2D9CA0"/>
              <w:bottom w:val="nil"/>
              <w:right w:val="nil"/>
            </w:tcBorders>
            <w:shd w:val="clear" w:color="auto" w:fill="auto"/>
            <w:tcMar>
              <w:top w:w="96" w:type="dxa"/>
              <w:left w:w="96" w:type="dxa"/>
              <w:bottom w:w="96" w:type="dxa"/>
              <w:right w:w="96" w:type="dxa"/>
            </w:tcMar>
            <w:hideMark/>
          </w:tcPr>
          <w:p w:rsidR="00265ADC" w:rsidRPr="00265ADC" w:rsidRDefault="00265ADC" w:rsidP="00265ADC">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lastRenderedPageBreak/>
              <w:t xml:space="preserve">Systems </w:t>
            </w:r>
            <w:r w:rsidRPr="00265ADC">
              <w:rPr>
                <w:rFonts w:ascii="Times New Roman" w:eastAsia="Times New Roman" w:hAnsi="Times New Roman" w:cs="Times New Roman"/>
                <w:color w:val="2D3B45"/>
                <w:sz w:val="24"/>
                <w:szCs w:val="24"/>
                <w:lang w:eastAsia="en-GB"/>
              </w:rPr>
              <w:lastRenderedPageBreak/>
              <w:t>theory</w:t>
            </w:r>
          </w:p>
          <w:p w:rsidR="00265ADC" w:rsidRPr="00265ADC" w:rsidRDefault="00265ADC" w:rsidP="00265ADC">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Complexity science</w:t>
            </w:r>
          </w:p>
          <w:p w:rsidR="00265ADC" w:rsidRPr="00265ADC" w:rsidRDefault="00265ADC" w:rsidP="00265ADC">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Complex adaptive systems</w:t>
            </w:r>
          </w:p>
          <w:p w:rsidR="00265ADC" w:rsidRPr="00265ADC" w:rsidRDefault="00265ADC" w:rsidP="00265ADC">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Systems levels</w:t>
            </w:r>
          </w:p>
          <w:p w:rsidR="00265ADC" w:rsidRPr="00265ADC" w:rsidRDefault="00265ADC" w:rsidP="00265ADC">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Systems-thinking</w:t>
            </w:r>
          </w:p>
          <w:p w:rsidR="00265ADC" w:rsidRPr="00265ADC" w:rsidRDefault="00265ADC" w:rsidP="00265ADC">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265ADC">
              <w:rPr>
                <w:rFonts w:ascii="Times New Roman" w:eastAsia="Times New Roman" w:hAnsi="Times New Roman" w:cs="Times New Roman"/>
                <w:color w:val="2D3B45"/>
                <w:sz w:val="24"/>
                <w:szCs w:val="24"/>
                <w:lang w:eastAsia="en-GB"/>
              </w:rPr>
              <w:t>NP Practice Models</w:t>
            </w:r>
          </w:p>
        </w:tc>
      </w:tr>
    </w:tbl>
    <w:p w:rsidR="00265ADC" w:rsidRPr="00265ADC" w:rsidRDefault="00265ADC" w:rsidP="00265ADC">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265ADC">
        <w:rPr>
          <w:rFonts w:ascii="&amp;quot" w:eastAsia="Times New Roman" w:hAnsi="&amp;quot" w:cs="Arial"/>
          <w:color w:val="333333"/>
          <w:sz w:val="29"/>
          <w:szCs w:val="29"/>
          <w:lang w:eastAsia="en-GB"/>
        </w:rPr>
        <w:lastRenderedPageBreak/>
        <w:t>Learning Success Strategies</w:t>
      </w:r>
    </w:p>
    <w:p w:rsidR="00265ADC" w:rsidRPr="00265ADC" w:rsidRDefault="00265ADC" w:rsidP="00265ADC">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265ADC">
        <w:rPr>
          <w:rFonts w:ascii="Arial" w:eastAsia="Times New Roman" w:hAnsi="Arial" w:cs="Arial"/>
          <w:i/>
          <w:iCs/>
          <w:color w:val="2D3B45"/>
          <w:sz w:val="19"/>
          <w:lang w:eastAsia="en-GB"/>
        </w:rPr>
        <w:t>Plan plenty of time in your week to be successful.</w:t>
      </w:r>
    </w:p>
    <w:p w:rsidR="00265ADC" w:rsidRPr="00265ADC" w:rsidRDefault="00265ADC" w:rsidP="00265ADC">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265ADC">
        <w:rPr>
          <w:rFonts w:ascii="Arial" w:eastAsia="Times New Roman" w:hAnsi="Arial" w:cs="Arial"/>
          <w:i/>
          <w:iCs/>
          <w:color w:val="2D3B45"/>
          <w:sz w:val="19"/>
          <w:lang w:eastAsia="en-GB"/>
        </w:rPr>
        <w:t>Reach out to your faculty early if you have any questions or concerns or if you are struggling to be successful.</w:t>
      </w:r>
    </w:p>
    <w:p w:rsidR="00265ADC" w:rsidRPr="00265ADC" w:rsidRDefault="00265ADC" w:rsidP="00265ADC">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265ADC">
        <w:rPr>
          <w:rFonts w:ascii="Arial" w:eastAsia="Times New Roman" w:hAnsi="Arial" w:cs="Arial"/>
          <w:i/>
          <w:iCs/>
          <w:color w:val="2D3B45"/>
          <w:sz w:val="19"/>
          <w:lang w:eastAsia="en-GB"/>
        </w:rPr>
        <w:t>Review the module outcomes and objectives, this is what you will be expected to learn and what you will be assessed on.</w:t>
      </w:r>
    </w:p>
    <w:p w:rsidR="00265ADC" w:rsidRPr="00265ADC" w:rsidRDefault="00265ADC" w:rsidP="00265ADC">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265ADC">
        <w:rPr>
          <w:rFonts w:ascii="Arial" w:eastAsia="Times New Roman" w:hAnsi="Arial" w:cs="Arial"/>
          <w:i/>
          <w:iCs/>
          <w:color w:val="2D3B45"/>
          <w:sz w:val="19"/>
          <w:lang w:eastAsia="en-GB"/>
        </w:rPr>
        <w:t>Review all assignments for the module and ensure you understand your assessments.</w:t>
      </w:r>
    </w:p>
    <w:p w:rsidR="00265ADC" w:rsidRPr="00265ADC" w:rsidRDefault="00265ADC" w:rsidP="00265ADC">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265ADC">
        <w:rPr>
          <w:rFonts w:ascii="Arial" w:eastAsia="Times New Roman" w:hAnsi="Arial" w:cs="Arial"/>
          <w:i/>
          <w:iCs/>
          <w:color w:val="2D3B45"/>
          <w:sz w:val="19"/>
          <w:lang w:eastAsia="en-GB"/>
        </w:rPr>
        <w:t>The module readings and learning content contain the information required to help you meet your learning objectives and be successful.</w:t>
      </w:r>
    </w:p>
    <w:p w:rsidR="004C4658" w:rsidRDefault="004C4658"/>
    <w:sectPr w:rsidR="004C4658" w:rsidSect="004C46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F43"/>
    <w:multiLevelType w:val="multilevel"/>
    <w:tmpl w:val="D5F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256C7"/>
    <w:multiLevelType w:val="multilevel"/>
    <w:tmpl w:val="BD76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5F745A"/>
    <w:multiLevelType w:val="multilevel"/>
    <w:tmpl w:val="C6B0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3768B"/>
    <w:multiLevelType w:val="multilevel"/>
    <w:tmpl w:val="EC0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2"/>
    <w:lvlOverride w:ilvl="0">
      <w:startOverride w:val="3"/>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65ADC"/>
    <w:rsid w:val="00265ADC"/>
    <w:rsid w:val="004C4658"/>
    <w:rsid w:val="004F6FAB"/>
    <w:rsid w:val="00CA1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58"/>
  </w:style>
  <w:style w:type="paragraph" w:styleId="Heading1">
    <w:name w:val="heading 1"/>
    <w:basedOn w:val="Normal"/>
    <w:link w:val="Heading1Char"/>
    <w:uiPriority w:val="9"/>
    <w:qFormat/>
    <w:rsid w:val="00265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5A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D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5AD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65ADC"/>
    <w:rPr>
      <w:color w:val="0000FF"/>
      <w:u w:val="single"/>
    </w:rPr>
  </w:style>
  <w:style w:type="paragraph" w:styleId="NormalWeb">
    <w:name w:val="Normal (Web)"/>
    <w:basedOn w:val="Normal"/>
    <w:uiPriority w:val="99"/>
    <w:semiHidden/>
    <w:unhideWhenUsed/>
    <w:rsid w:val="00265A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5ADC"/>
    <w:rPr>
      <w:i/>
      <w:iCs/>
    </w:rPr>
  </w:style>
  <w:style w:type="paragraph" w:styleId="BalloonText">
    <w:name w:val="Balloon Text"/>
    <w:basedOn w:val="Normal"/>
    <w:link w:val="BalloonTextChar"/>
    <w:uiPriority w:val="99"/>
    <w:semiHidden/>
    <w:unhideWhenUsed/>
    <w:rsid w:val="004F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470453">
      <w:bodyDiv w:val="1"/>
      <w:marLeft w:val="0"/>
      <w:marRight w:val="0"/>
      <w:marTop w:val="0"/>
      <w:marBottom w:val="0"/>
      <w:divBdr>
        <w:top w:val="none" w:sz="0" w:space="0" w:color="auto"/>
        <w:left w:val="none" w:sz="0" w:space="0" w:color="auto"/>
        <w:bottom w:val="none" w:sz="0" w:space="0" w:color="auto"/>
        <w:right w:val="none" w:sz="0" w:space="0" w:color="auto"/>
      </w:divBdr>
      <w:divsChild>
        <w:div w:id="590235381">
          <w:marLeft w:val="0"/>
          <w:marRight w:val="0"/>
          <w:marTop w:val="0"/>
          <w:marBottom w:val="144"/>
          <w:divBdr>
            <w:top w:val="single" w:sz="4" w:space="6" w:color="C7CDD1"/>
            <w:left w:val="single" w:sz="4" w:space="12" w:color="C7CDD1"/>
            <w:bottom w:val="single" w:sz="4" w:space="6" w:color="C7CDD1"/>
            <w:right w:val="single" w:sz="4" w:space="12" w:color="C7CDD1"/>
          </w:divBdr>
          <w:divsChild>
            <w:div w:id="2088189327">
              <w:marLeft w:val="0"/>
              <w:marRight w:val="0"/>
              <w:marTop w:val="0"/>
              <w:marBottom w:val="0"/>
              <w:divBdr>
                <w:top w:val="none" w:sz="0" w:space="0" w:color="auto"/>
                <w:left w:val="none" w:sz="0" w:space="0" w:color="auto"/>
                <w:bottom w:val="none" w:sz="0" w:space="0" w:color="auto"/>
                <w:right w:val="none" w:sz="0" w:space="0" w:color="auto"/>
              </w:divBdr>
            </w:div>
          </w:divsChild>
        </w:div>
        <w:div w:id="1829398534">
          <w:marLeft w:val="0"/>
          <w:marRight w:val="0"/>
          <w:marTop w:val="0"/>
          <w:marBottom w:val="144"/>
          <w:divBdr>
            <w:top w:val="single" w:sz="4" w:space="6" w:color="C7CDD1"/>
            <w:left w:val="single" w:sz="4" w:space="12" w:color="C7CDD1"/>
            <w:bottom w:val="single" w:sz="4" w:space="6" w:color="C7CDD1"/>
            <w:right w:val="single" w:sz="4" w:space="12" w:color="C7CDD1"/>
          </w:divBdr>
          <w:divsChild>
            <w:div w:id="1924798725">
              <w:marLeft w:val="0"/>
              <w:marRight w:val="0"/>
              <w:marTop w:val="0"/>
              <w:marBottom w:val="0"/>
              <w:divBdr>
                <w:top w:val="none" w:sz="0" w:space="0" w:color="auto"/>
                <w:left w:val="none" w:sz="0" w:space="0" w:color="auto"/>
                <w:bottom w:val="none" w:sz="0" w:space="0" w:color="auto"/>
                <w:right w:val="none" w:sz="0" w:space="0" w:color="auto"/>
              </w:divBdr>
              <w:divsChild>
                <w:div w:id="2131320171">
                  <w:marLeft w:val="0"/>
                  <w:marRight w:val="0"/>
                  <w:marTop w:val="240"/>
                  <w:marBottom w:val="240"/>
                  <w:divBdr>
                    <w:top w:val="none" w:sz="0" w:space="0" w:color="auto"/>
                    <w:left w:val="none" w:sz="0" w:space="0" w:color="auto"/>
                    <w:bottom w:val="none" w:sz="0" w:space="0" w:color="auto"/>
                    <w:right w:val="none" w:sz="0" w:space="0" w:color="auto"/>
                  </w:divBdr>
                  <w:divsChild>
                    <w:div w:id="120001825">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9670">
          <w:marLeft w:val="0"/>
          <w:marRight w:val="0"/>
          <w:marTop w:val="0"/>
          <w:marBottom w:val="144"/>
          <w:divBdr>
            <w:top w:val="single" w:sz="4" w:space="6" w:color="C7CDD1"/>
            <w:left w:val="single" w:sz="4" w:space="12" w:color="C7CDD1"/>
            <w:bottom w:val="single" w:sz="4" w:space="6" w:color="C7CDD1"/>
            <w:right w:val="single" w:sz="4" w:space="12" w:color="C7CDD1"/>
          </w:divBdr>
          <w:divsChild>
            <w:div w:id="8447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43/pages/week-5-week-at-a-glance?module_item_id=7473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Company>HP</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2020-05-13T14:00:00Z</dcterms:created>
  <dcterms:modified xsi:type="dcterms:W3CDTF">2020-05-13T14:00:00Z</dcterms:modified>
</cp:coreProperties>
</file>