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42" w:rsidRDefault="00FD324F" w:rsidP="00FD324F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REL 103-14 - Test 2</w:t>
      </w:r>
    </w:p>
    <w:p w:rsidR="00FD324F" w:rsidRDefault="00FD324F" w:rsidP="00FD324F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23 Mar 20</w:t>
      </w:r>
    </w:p>
    <w:p w:rsidR="00FD324F" w:rsidRDefault="00FD324F" w:rsidP="00FD324F">
      <w:pPr>
        <w:jc w:val="center"/>
        <w:rPr>
          <w:rFonts w:eastAsia="Times New Roman" w:cs="Times New Roman"/>
          <w:szCs w:val="24"/>
        </w:rPr>
      </w:pPr>
    </w:p>
    <w:p w:rsidR="00FD324F" w:rsidRDefault="00FD324F" w:rsidP="00FD324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Answer each question as fully as possible.  You may use the study guide, Finley’s book, or any other source you wish.  </w:t>
      </w:r>
      <w:r w:rsidRPr="00FD324F">
        <w:rPr>
          <w:rFonts w:eastAsia="Times New Roman" w:cs="Times New Roman"/>
          <w:szCs w:val="24"/>
          <w:shd w:val="clear" w:color="auto" w:fill="FFFF00"/>
        </w:rPr>
        <w:t>The completed test is due to me on line</w:t>
      </w:r>
      <w:r w:rsidR="00392862">
        <w:rPr>
          <w:rFonts w:eastAsia="Times New Roman" w:cs="Times New Roman"/>
          <w:szCs w:val="24"/>
          <w:shd w:val="clear" w:color="auto" w:fill="FFFF00"/>
        </w:rPr>
        <w:t xml:space="preserve"> (email)</w:t>
      </w:r>
      <w:bookmarkStart w:id="0" w:name="_GoBack"/>
      <w:bookmarkEnd w:id="0"/>
      <w:r w:rsidRPr="00FD324F">
        <w:rPr>
          <w:rFonts w:eastAsia="Times New Roman" w:cs="Times New Roman"/>
          <w:szCs w:val="24"/>
          <w:shd w:val="clear" w:color="auto" w:fill="FFFF00"/>
        </w:rPr>
        <w:t xml:space="preserve"> by midnight, </w:t>
      </w:r>
      <w:r w:rsidR="00806463">
        <w:rPr>
          <w:rFonts w:eastAsia="Times New Roman" w:cs="Times New Roman"/>
          <w:szCs w:val="24"/>
          <w:shd w:val="clear" w:color="auto" w:fill="FFFF00"/>
        </w:rPr>
        <w:t xml:space="preserve">Monday, </w:t>
      </w:r>
      <w:r w:rsidRPr="00FD324F">
        <w:rPr>
          <w:rFonts w:eastAsia="Times New Roman" w:cs="Times New Roman"/>
          <w:szCs w:val="24"/>
          <w:shd w:val="clear" w:color="auto" w:fill="FFFF00"/>
        </w:rPr>
        <w:t>23 March 2020</w:t>
      </w:r>
      <w:r>
        <w:rPr>
          <w:rFonts w:eastAsia="Times New Roman" w:cs="Times New Roman"/>
          <w:szCs w:val="24"/>
          <w:shd w:val="clear" w:color="auto" w:fill="FFFF00"/>
        </w:rPr>
        <w:t xml:space="preserve">.  </w:t>
      </w:r>
      <w:r w:rsidRPr="00F42E1B">
        <w:rPr>
          <w:rFonts w:eastAsia="Times New Roman" w:cs="Times New Roman"/>
          <w:szCs w:val="24"/>
        </w:rPr>
        <w:t xml:space="preserve">Each day late will result in a </w:t>
      </w:r>
      <w:r w:rsidR="008917F7">
        <w:rPr>
          <w:rFonts w:eastAsia="Times New Roman" w:cs="Times New Roman"/>
          <w:szCs w:val="24"/>
        </w:rPr>
        <w:t>2</w:t>
      </w:r>
      <w:r w:rsidRPr="00F42E1B">
        <w:rPr>
          <w:rFonts w:eastAsia="Times New Roman" w:cs="Times New Roman"/>
          <w:szCs w:val="24"/>
        </w:rPr>
        <w:t xml:space="preserve">0 point reduction </w:t>
      </w:r>
      <w:r w:rsidR="00F42E1B">
        <w:rPr>
          <w:rFonts w:eastAsia="Times New Roman" w:cs="Times New Roman"/>
          <w:szCs w:val="24"/>
        </w:rPr>
        <w:t>i</w:t>
      </w:r>
      <w:r w:rsidRPr="00F42E1B">
        <w:rPr>
          <w:rFonts w:eastAsia="Times New Roman" w:cs="Times New Roman"/>
          <w:szCs w:val="24"/>
        </w:rPr>
        <w:t>n the grade.</w:t>
      </w:r>
    </w:p>
    <w:p w:rsidR="00FD324F" w:rsidRDefault="00FD324F" w:rsidP="00474042">
      <w:pPr>
        <w:rPr>
          <w:rFonts w:eastAsia="Times New Roman" w:cs="Times New Roman"/>
          <w:szCs w:val="24"/>
        </w:rPr>
      </w:pPr>
    </w:p>
    <w:p w:rsidR="00FD324F" w:rsidRPr="00474042" w:rsidRDefault="00FD324F" w:rsidP="00474042">
      <w:pPr>
        <w:rPr>
          <w:rFonts w:eastAsia="Times New Roman" w:cs="Times New Roman"/>
          <w:szCs w:val="24"/>
        </w:rPr>
      </w:pPr>
    </w:p>
    <w:tbl>
      <w:tblPr>
        <w:tblW w:w="9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0"/>
      </w:tblGrid>
      <w:tr w:rsidR="00474042" w:rsidRPr="00474042" w:rsidTr="00FD324F">
        <w:tc>
          <w:tcPr>
            <w:tcW w:w="9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42" w:rsidRDefault="00474042" w:rsidP="008B277A">
            <w:pPr>
              <w:spacing w:after="150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1. </w:t>
            </w:r>
            <w:r w:rsidR="00FD324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(1</w:t>
            </w:r>
            <w:r w:rsidR="008B277A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0</w:t>
            </w:r>
            <w:r w:rsidR="00FD324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)</w:t>
            </w:r>
            <w:r w:rsidR="008B277A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How did the pressure from the Vandals in the late 5th century and the subsequent withdrawal of the legions from the borders affect the Roman Church and the papacy?</w:t>
            </w: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br/>
            </w:r>
          </w:p>
          <w:p w:rsidR="008B277A" w:rsidRPr="00474042" w:rsidRDefault="008B277A" w:rsidP="008B277A">
            <w:pPr>
              <w:spacing w:after="150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</w:tc>
      </w:tr>
      <w:tr w:rsidR="00474042" w:rsidRPr="00474042" w:rsidTr="00FD324F">
        <w:tc>
          <w:tcPr>
            <w:tcW w:w="9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39A" w:rsidRDefault="00474042" w:rsidP="00474042">
            <w:pPr>
              <w:spacing w:after="150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2. </w:t>
            </w:r>
            <w:r w:rsidR="00FD324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(15)</w:t>
            </w: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In the early days of Christianity, many people developed their own ideas of Christ's nature. One of the major heresies was that of Arius</w:t>
            </w:r>
            <w:r w:rsidR="002424C4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, called Arianism</w:t>
            </w: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.</w:t>
            </w:r>
          </w:p>
          <w:p w:rsidR="0021639A" w:rsidRDefault="00474042" w:rsidP="00FD324F">
            <w:pPr>
              <w:spacing w:after="150"/>
              <w:ind w:left="720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br/>
              <w:t xml:space="preserve">a. </w:t>
            </w:r>
            <w:r w:rsidR="00FD324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(5) </w:t>
            </w: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What did he teach concerning Jesus' human vs. Divine nature?</w:t>
            </w:r>
          </w:p>
          <w:p w:rsidR="00474042" w:rsidRDefault="00474042" w:rsidP="00FD324F">
            <w:pPr>
              <w:spacing w:after="150"/>
              <w:ind w:left="720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br/>
              <w:t>b.</w:t>
            </w:r>
            <w:r w:rsidR="00FD324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(10) </w:t>
            </w:r>
            <w:r w:rsidR="00F42E1B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What</w:t>
            </w:r>
            <w:r w:rsidR="004A015C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did the Council of </w:t>
            </w:r>
            <w:r w:rsidR="00F42E1B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Chalcedon decide to </w:t>
            </w: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refute his ideas?</w:t>
            </w:r>
          </w:p>
          <w:p w:rsidR="00474042" w:rsidRDefault="00474042" w:rsidP="00474042">
            <w:pPr>
              <w:spacing w:after="150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  <w:p w:rsidR="008B277A" w:rsidRPr="00474042" w:rsidRDefault="008B277A" w:rsidP="00474042">
            <w:pPr>
              <w:spacing w:after="150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</w:tc>
      </w:tr>
      <w:tr w:rsidR="00474042" w:rsidRPr="00474042" w:rsidTr="00FD324F">
        <w:tc>
          <w:tcPr>
            <w:tcW w:w="9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42" w:rsidRDefault="00474042" w:rsidP="00474042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3. </w:t>
            </w:r>
            <w:r w:rsidR="00FD324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(10) </w:t>
            </w:r>
            <w:r w:rsidR="008B277A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a. (5) </w:t>
            </w: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Discuss Urban II's purpose for calling the 1st Crusade.</w:t>
            </w:r>
          </w:p>
          <w:p w:rsidR="008B277A" w:rsidRDefault="008B277A" w:rsidP="00474042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  <w:p w:rsidR="008B277A" w:rsidRDefault="008B277A" w:rsidP="00474042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          b.  (5) What was the reaction from the European nobles to Urban’s idea?</w:t>
            </w:r>
          </w:p>
          <w:p w:rsidR="0021639A" w:rsidRDefault="0021639A" w:rsidP="00474042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  <w:p w:rsidR="008B277A" w:rsidRPr="00474042" w:rsidRDefault="008B277A" w:rsidP="00474042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</w:tc>
      </w:tr>
      <w:tr w:rsidR="00474042" w:rsidRPr="00474042" w:rsidTr="00FD324F">
        <w:tc>
          <w:tcPr>
            <w:tcW w:w="9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42" w:rsidRDefault="00474042" w:rsidP="00474042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4. </w:t>
            </w:r>
            <w:r w:rsidR="00FD324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(15) </w:t>
            </w:r>
            <w:r w:rsidR="002424C4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Pick 5 of the 7</w:t>
            </w: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reactions of the Council of Trent to the Protestant Reformation</w:t>
            </w:r>
            <w:r w:rsidR="002424C4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listed in the study guide. Dis</w:t>
            </w: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cuss </w:t>
            </w:r>
            <w:r w:rsidR="002424C4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each</w:t>
            </w: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in terms of how they were intended to counter the Protestant teachings</w:t>
            </w:r>
            <w:r w:rsidR="002424C4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of the Reformation</w:t>
            </w: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.</w:t>
            </w:r>
          </w:p>
          <w:p w:rsidR="0021639A" w:rsidRDefault="0021639A" w:rsidP="00474042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  <w:p w:rsidR="008B277A" w:rsidRPr="00474042" w:rsidRDefault="008B277A" w:rsidP="00474042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</w:tc>
      </w:tr>
      <w:tr w:rsidR="00474042" w:rsidRPr="00474042" w:rsidTr="00FD324F">
        <w:tc>
          <w:tcPr>
            <w:tcW w:w="9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E1B" w:rsidRDefault="00474042" w:rsidP="00474042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5. </w:t>
            </w:r>
            <w:r w:rsidR="00FD324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(10) </w:t>
            </w:r>
            <w:r w:rsidR="00F42E1B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a.  (5) What are</w:t>
            </w: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each of the conditions for papal infallibility as defined by </w:t>
            </w:r>
            <w:r w:rsidRPr="00474042">
              <w:rPr>
                <w:rFonts w:ascii="Arial" w:eastAsia="Times New Roman" w:hAnsi="Arial" w:cs="Arial"/>
                <w:b/>
                <w:color w:val="111111"/>
                <w:sz w:val="21"/>
                <w:szCs w:val="21"/>
                <w:highlight w:val="yellow"/>
                <w:u w:val="single"/>
              </w:rPr>
              <w:t>Vatican I</w:t>
            </w:r>
            <w:r w:rsidR="00F42E1B" w:rsidRPr="00806463">
              <w:rPr>
                <w:rFonts w:ascii="Arial" w:eastAsia="Times New Roman" w:hAnsi="Arial" w:cs="Arial"/>
                <w:b/>
                <w:color w:val="111111"/>
                <w:sz w:val="21"/>
                <w:szCs w:val="21"/>
                <w:u w:val="single"/>
              </w:rPr>
              <w:t>,</w:t>
            </w:r>
          </w:p>
          <w:p w:rsidR="00F42E1B" w:rsidRDefault="00F42E1B" w:rsidP="00474042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  <w:p w:rsidR="00474042" w:rsidRDefault="00F42E1B" w:rsidP="00F42E1B">
            <w:pPr>
              <w:ind w:left="720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b. (5)  Why is each</w:t>
            </w:r>
            <w:r w:rsidR="00474042"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important?</w:t>
            </w:r>
          </w:p>
          <w:p w:rsidR="0021639A" w:rsidRDefault="0021639A" w:rsidP="00474042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  <w:p w:rsidR="0021639A" w:rsidRPr="00474042" w:rsidRDefault="0021639A" w:rsidP="00474042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</w:tc>
      </w:tr>
      <w:tr w:rsidR="00474042" w:rsidRPr="00474042" w:rsidTr="00FD324F">
        <w:tc>
          <w:tcPr>
            <w:tcW w:w="9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42" w:rsidRDefault="00474042" w:rsidP="00474042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6. </w:t>
            </w:r>
            <w:r w:rsidR="00FD324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(15) </w:t>
            </w: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Discuss the way the Spanish missionaries treated the natives in the Americas in terms of social justice.</w:t>
            </w:r>
          </w:p>
          <w:p w:rsidR="0021639A" w:rsidRDefault="0021639A" w:rsidP="00474042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  <w:p w:rsidR="008B277A" w:rsidRPr="00474042" w:rsidRDefault="008B277A" w:rsidP="00474042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</w:tc>
      </w:tr>
      <w:tr w:rsidR="00474042" w:rsidRPr="00474042" w:rsidTr="00FD324F">
        <w:tc>
          <w:tcPr>
            <w:tcW w:w="9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42" w:rsidRDefault="00474042" w:rsidP="00474042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7. </w:t>
            </w:r>
            <w:r w:rsidR="00FD324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(10) </w:t>
            </w: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How is the provision of Rerum Novarum which grants workers the right to organize applicable today?</w:t>
            </w:r>
          </w:p>
          <w:p w:rsidR="0021639A" w:rsidRDefault="0021639A" w:rsidP="00474042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  <w:p w:rsidR="008B277A" w:rsidRPr="00474042" w:rsidRDefault="008B277A" w:rsidP="00474042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</w:tc>
      </w:tr>
      <w:tr w:rsidR="00474042" w:rsidRPr="00474042" w:rsidTr="00FD324F">
        <w:tc>
          <w:tcPr>
            <w:tcW w:w="9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042" w:rsidRPr="00474042" w:rsidRDefault="00474042" w:rsidP="008B277A">
            <w:pPr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8. </w:t>
            </w:r>
            <w:r w:rsidR="00FD324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(1</w:t>
            </w:r>
            <w:r w:rsidR="008B277A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5</w:t>
            </w:r>
            <w:r w:rsidR="00FD324F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) </w:t>
            </w:r>
            <w:r w:rsidRPr="00474042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Compare the attitude of the American Nativists in the 19th century towards the immigrants with the attitude towards immigrants in the U.S. today.</w:t>
            </w:r>
          </w:p>
        </w:tc>
      </w:tr>
    </w:tbl>
    <w:p w:rsidR="00A30BB5" w:rsidRPr="00474042" w:rsidRDefault="00A30BB5" w:rsidP="00474042"/>
    <w:sectPr w:rsidR="00A30BB5" w:rsidRPr="00474042" w:rsidSect="00F67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E2D3B"/>
    <w:rsid w:val="0021639A"/>
    <w:rsid w:val="002424C4"/>
    <w:rsid w:val="00392862"/>
    <w:rsid w:val="00474042"/>
    <w:rsid w:val="004A015C"/>
    <w:rsid w:val="006F2497"/>
    <w:rsid w:val="00806463"/>
    <w:rsid w:val="008917F7"/>
    <w:rsid w:val="008B277A"/>
    <w:rsid w:val="00A30BB5"/>
    <w:rsid w:val="00BF7070"/>
    <w:rsid w:val="00D16D78"/>
    <w:rsid w:val="00EE2D3B"/>
    <w:rsid w:val="00F42E1B"/>
    <w:rsid w:val="00F67F45"/>
    <w:rsid w:val="00FD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707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D16D78"/>
  </w:style>
  <w:style w:type="paragraph" w:styleId="NormalWeb">
    <w:name w:val="Normal (Web)"/>
    <w:basedOn w:val="Normal"/>
    <w:uiPriority w:val="99"/>
    <w:unhideWhenUsed/>
    <w:rsid w:val="00474042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707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D16D78"/>
  </w:style>
  <w:style w:type="paragraph" w:styleId="NormalWeb">
    <w:name w:val="Normal (Web)"/>
    <w:basedOn w:val="Normal"/>
    <w:uiPriority w:val="99"/>
    <w:unhideWhenUsed/>
    <w:rsid w:val="00474042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klish</cp:lastModifiedBy>
  <cp:revision>2</cp:revision>
  <cp:lastPrinted>2020-03-14T18:10:00Z</cp:lastPrinted>
  <dcterms:created xsi:type="dcterms:W3CDTF">2020-06-14T08:09:00Z</dcterms:created>
  <dcterms:modified xsi:type="dcterms:W3CDTF">2020-06-14T08:09:00Z</dcterms:modified>
</cp:coreProperties>
</file>