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23" w:rsidRPr="00D56423" w:rsidRDefault="00D56423" w:rsidP="00D56423">
      <w:pPr>
        <w:shd w:val="clear" w:color="auto" w:fill="FFFFFF"/>
        <w:spacing w:before="150" w:after="150" w:line="345" w:lineRule="atLeast"/>
        <w:outlineLvl w:val="3"/>
        <w:rPr>
          <w:rFonts w:ascii="inherit" w:eastAsia="Times New Roman" w:hAnsi="inherit" w:cs="Open Sans"/>
          <w:b/>
          <w:bCs/>
          <w:caps/>
          <w:color w:val="333333"/>
          <w:spacing w:val="6"/>
          <w:sz w:val="21"/>
          <w:szCs w:val="21"/>
        </w:rPr>
      </w:pPr>
      <w:r w:rsidRPr="00D56423">
        <w:rPr>
          <w:rFonts w:ascii="inherit" w:eastAsia="Times New Roman" w:hAnsi="inherit" w:cs="Open Sans"/>
          <w:b/>
          <w:bCs/>
          <w:caps/>
          <w:color w:val="333333"/>
          <w:spacing w:val="6"/>
          <w:sz w:val="21"/>
          <w:szCs w:val="21"/>
        </w:rPr>
        <w:t>RECORD: 1</w:t>
      </w:r>
    </w:p>
    <w:tbl>
      <w:tblPr>
        <w:tblW w:w="0" w:type="auto"/>
        <w:tblCellMar>
          <w:top w:w="15" w:type="dxa"/>
          <w:left w:w="15" w:type="dxa"/>
          <w:bottom w:w="15" w:type="dxa"/>
          <w:right w:w="15" w:type="dxa"/>
        </w:tblCellMar>
        <w:tblLook w:val="04A0" w:firstRow="1" w:lastRow="0" w:firstColumn="1" w:lastColumn="0" w:noHBand="0" w:noVBand="1"/>
      </w:tblPr>
      <w:tblGrid>
        <w:gridCol w:w="1253"/>
        <w:gridCol w:w="8107"/>
      </w:tblGrid>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Title:</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Personality and Social Problem-Solving: The Mediating Role of Self-Esteem.</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Authors:</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proofErr w:type="spellStart"/>
            <w:r w:rsidRPr="00D56423">
              <w:rPr>
                <w:rFonts w:ascii="Times New Roman" w:eastAsia="Times New Roman" w:hAnsi="Times New Roman" w:cs="Times New Roman"/>
                <w:sz w:val="21"/>
                <w:szCs w:val="21"/>
              </w:rPr>
              <w:t>Koruklu</w:t>
            </w:r>
            <w:proofErr w:type="spellEnd"/>
            <w:r w:rsidRPr="00D56423">
              <w:rPr>
                <w:rFonts w:ascii="Times New Roman" w:eastAsia="Times New Roman" w:hAnsi="Times New Roman" w:cs="Times New Roman"/>
                <w:sz w:val="21"/>
                <w:szCs w:val="21"/>
              </w:rPr>
              <w:t>, Nermin</w:t>
            </w:r>
            <w:r w:rsidRPr="00D56423">
              <w:rPr>
                <w:rFonts w:ascii="Times New Roman" w:eastAsia="Times New Roman" w:hAnsi="Times New Roman" w:cs="Times New Roman"/>
                <w:sz w:val="16"/>
                <w:szCs w:val="16"/>
                <w:vertAlign w:val="superscript"/>
              </w:rPr>
              <w:t>1</w:t>
            </w:r>
            <w:r w:rsidRPr="00D56423">
              <w:rPr>
                <w:rFonts w:ascii="Times New Roman" w:eastAsia="Times New Roman" w:hAnsi="Times New Roman" w:cs="Times New Roman"/>
                <w:sz w:val="21"/>
                <w:szCs w:val="21"/>
              </w:rPr>
              <w:t>, </w:t>
            </w:r>
            <w:r w:rsidRPr="00D56423">
              <w:rPr>
                <w:rFonts w:ascii="Times New Roman" w:eastAsia="Times New Roman" w:hAnsi="Times New Roman" w:cs="Times New Roman"/>
                <w:i/>
                <w:iCs/>
                <w:sz w:val="21"/>
                <w:szCs w:val="21"/>
              </w:rPr>
              <w:t>nkoruklu@adu.edu.trnonerkoruklu@gmail.com</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Source:</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Educational Sciences: Theory &amp; Practice; Apr2015, Vol. 15 Issue 2, p481-487, 7p, 2 Charts</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Document Type:</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Article</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Subjects:</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Social problems</w:t>
            </w:r>
            <w:r w:rsidRPr="00D56423">
              <w:rPr>
                <w:rFonts w:ascii="Times New Roman" w:eastAsia="Times New Roman" w:hAnsi="Times New Roman" w:cs="Times New Roman"/>
                <w:sz w:val="21"/>
                <w:szCs w:val="21"/>
              </w:rPr>
              <w:br/>
              <w:t>Problem solving</w:t>
            </w:r>
            <w:r w:rsidRPr="00D56423">
              <w:rPr>
                <w:rFonts w:ascii="Times New Roman" w:eastAsia="Times New Roman" w:hAnsi="Times New Roman" w:cs="Times New Roman"/>
                <w:sz w:val="21"/>
                <w:szCs w:val="21"/>
              </w:rPr>
              <w:br/>
              <w:t>Self-esteem</w:t>
            </w:r>
            <w:r w:rsidRPr="00D56423">
              <w:rPr>
                <w:rFonts w:ascii="Times New Roman" w:eastAsia="Times New Roman" w:hAnsi="Times New Roman" w:cs="Times New Roman"/>
                <w:sz w:val="21"/>
                <w:szCs w:val="21"/>
              </w:rPr>
              <w:br/>
              <w:t>Personality</w:t>
            </w:r>
            <w:r w:rsidRPr="00D56423">
              <w:rPr>
                <w:rFonts w:ascii="Times New Roman" w:eastAsia="Times New Roman" w:hAnsi="Times New Roman" w:cs="Times New Roman"/>
                <w:sz w:val="21"/>
                <w:szCs w:val="21"/>
              </w:rPr>
              <w:br/>
              <w:t>Neuroticism</w:t>
            </w:r>
            <w:r w:rsidRPr="00D56423">
              <w:rPr>
                <w:rFonts w:ascii="Times New Roman" w:eastAsia="Times New Roman" w:hAnsi="Times New Roman" w:cs="Times New Roman"/>
                <w:sz w:val="21"/>
                <w:szCs w:val="21"/>
              </w:rPr>
              <w:br/>
              <w:t>Positive psychology</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Author Supplied Keywords:</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Self-Esteem</w:t>
            </w:r>
            <w:r w:rsidRPr="00D56423">
              <w:rPr>
                <w:rFonts w:ascii="Times New Roman" w:eastAsia="Times New Roman" w:hAnsi="Times New Roman" w:cs="Times New Roman"/>
                <w:sz w:val="21"/>
                <w:szCs w:val="21"/>
              </w:rPr>
              <w:br/>
              <w:t>Social problem-solving</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Abstract:</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 xml:space="preserve">The purpose of the present study was to examine direct and indirect relationships among personality, </w:t>
            </w:r>
            <w:proofErr w:type="spellStart"/>
            <w:r w:rsidRPr="00D56423">
              <w:rPr>
                <w:rFonts w:ascii="Times New Roman" w:eastAsia="Times New Roman" w:hAnsi="Times New Roman" w:cs="Times New Roman"/>
                <w:sz w:val="21"/>
                <w:szCs w:val="21"/>
              </w:rPr>
              <w:t>selfesteem</w:t>
            </w:r>
            <w:proofErr w:type="spellEnd"/>
            <w:r w:rsidRPr="00D56423">
              <w:rPr>
                <w:rFonts w:ascii="Times New Roman" w:eastAsia="Times New Roman" w:hAnsi="Times New Roman" w:cs="Times New Roman"/>
                <w:sz w:val="21"/>
                <w:szCs w:val="21"/>
              </w:rPr>
              <w:t xml:space="preserve"> and social problem-solving, as well as the mediating role of self-esteem in the link between personality and social problem-solving among Turkish youth. The study utilized a cross-sectional design comprising several </w:t>
            </w:r>
            <w:proofErr w:type="gramStart"/>
            <w:r w:rsidRPr="00D56423">
              <w:rPr>
                <w:rFonts w:ascii="Times New Roman" w:eastAsia="Times New Roman" w:hAnsi="Times New Roman" w:cs="Times New Roman"/>
                <w:sz w:val="21"/>
                <w:szCs w:val="21"/>
              </w:rPr>
              <w:t>self-reports</w:t>
            </w:r>
            <w:proofErr w:type="gramEnd"/>
            <w:r w:rsidRPr="00D56423">
              <w:rPr>
                <w:rFonts w:ascii="Times New Roman" w:eastAsia="Times New Roman" w:hAnsi="Times New Roman" w:cs="Times New Roman"/>
                <w:sz w:val="21"/>
                <w:szCs w:val="21"/>
              </w:rPr>
              <w:t xml:space="preserve">. Data for the present study were collected from 687 undergraduate students. The participants included 428 (66%) females and 220 (34%) males, and their ages ranged from 18 to 35years, with a mean of 22.46 years (SD = 2.45). Findings illustrated that extraversion, </w:t>
            </w:r>
            <w:proofErr w:type="gramStart"/>
            <w:r w:rsidRPr="00D56423">
              <w:rPr>
                <w:rFonts w:ascii="Times New Roman" w:eastAsia="Times New Roman" w:hAnsi="Times New Roman" w:cs="Times New Roman"/>
                <w:sz w:val="21"/>
                <w:szCs w:val="21"/>
              </w:rPr>
              <w:t>openness,</w:t>
            </w:r>
            <w:proofErr w:type="gramEnd"/>
            <w:r w:rsidRPr="00D56423">
              <w:rPr>
                <w:rFonts w:ascii="Times New Roman" w:eastAsia="Times New Roman" w:hAnsi="Times New Roman" w:cs="Times New Roman"/>
                <w:sz w:val="21"/>
                <w:szCs w:val="21"/>
              </w:rPr>
              <w:t xml:space="preserve"> conscientiousness, agreeableness and self-esteem were significantly and positively correlated with social problem-solving, whereas neuroticism showed a negative correlation. Self-esteem is significantly and positively associated with extraversion, openness, conscientiousness, agreeableness and social problem-solving, and it appears to act as a mediator in the relationship between personality and social problem-solving. The findings indicated that personality and </w:t>
            </w:r>
            <w:proofErr w:type="spellStart"/>
            <w:r w:rsidRPr="00D56423">
              <w:rPr>
                <w:rFonts w:ascii="Times New Roman" w:eastAsia="Times New Roman" w:hAnsi="Times New Roman" w:cs="Times New Roman"/>
                <w:sz w:val="21"/>
                <w:szCs w:val="21"/>
              </w:rPr>
              <w:t>selfesteem</w:t>
            </w:r>
            <w:proofErr w:type="spellEnd"/>
            <w:r w:rsidRPr="00D56423">
              <w:rPr>
                <w:rFonts w:ascii="Times New Roman" w:eastAsia="Times New Roman" w:hAnsi="Times New Roman" w:cs="Times New Roman"/>
                <w:sz w:val="21"/>
                <w:szCs w:val="21"/>
              </w:rPr>
              <w:t xml:space="preserve"> directly affected social problem-solving, and personality also indirectly affected social problem-solving through self-esteem. In conclusion, personality and self-esteem were found to be significantly related to social problem-solving among Turkish youth. [ABSTRACT FROM AUTHOR]</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i/>
                <w:iCs/>
                <w:sz w:val="21"/>
                <w:szCs w:val="21"/>
              </w:rPr>
              <w:t xml:space="preserve">Copyright of Educational Sciences: Theory &amp; Practice is the property of EDAM- Education Consultancy Limited and its content may not be copied or emailed to multiple sites or posted to a listserv without the copyright holder's express written permission. However, users may print, </w:t>
            </w:r>
            <w:r w:rsidRPr="00D56423">
              <w:rPr>
                <w:rFonts w:ascii="Times New Roman" w:eastAsia="Times New Roman" w:hAnsi="Times New Roman" w:cs="Times New Roman"/>
                <w:i/>
                <w:iCs/>
                <w:sz w:val="21"/>
                <w:szCs w:val="21"/>
              </w:rPr>
              <w:lastRenderedPageBreak/>
              <w:t>download, or email articles for individual use. This abstract may be abridged. No warranty is given about the accuracy of the copy. Users should refer to the original published version of the material for the full abstract.</w:t>
            </w:r>
            <w:r w:rsidRPr="00D56423">
              <w:rPr>
                <w:rFonts w:ascii="Times New Roman" w:eastAsia="Times New Roman" w:hAnsi="Times New Roman" w:cs="Times New Roman"/>
                <w:sz w:val="21"/>
                <w:szCs w:val="21"/>
              </w:rPr>
              <w:t> (Copyright applies to all Abstracts.)</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lastRenderedPageBreak/>
              <w:t>Author Affiliations:</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16"/>
                <w:szCs w:val="16"/>
                <w:vertAlign w:val="superscript"/>
              </w:rPr>
              <w:t>1</w:t>
            </w:r>
            <w:r w:rsidRPr="00D56423">
              <w:rPr>
                <w:rFonts w:ascii="Times New Roman" w:eastAsia="Times New Roman" w:hAnsi="Times New Roman" w:cs="Times New Roman"/>
                <w:sz w:val="21"/>
                <w:szCs w:val="21"/>
              </w:rPr>
              <w:t>Adnan Menderes University</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ISSN:</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13030485</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DOI:</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10.12738/estp.2015.2.2601</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Accession Number:</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102423313</w:t>
            </w:r>
          </w:p>
        </w:tc>
      </w:tr>
    </w:tbl>
    <w:p w:rsidR="00D56423" w:rsidRPr="00D56423" w:rsidRDefault="00D56423" w:rsidP="00D56423">
      <w:pPr>
        <w:shd w:val="clear" w:color="auto" w:fill="FFFFFF"/>
        <w:spacing w:after="0" w:line="240" w:lineRule="auto"/>
        <w:jc w:val="right"/>
        <w:rPr>
          <w:rFonts w:ascii="Open Sans" w:eastAsia="Times New Roman" w:hAnsi="Open Sans" w:cs="Open Sans"/>
          <w:color w:val="696967"/>
          <w:sz w:val="17"/>
          <w:szCs w:val="17"/>
        </w:rPr>
      </w:pPr>
      <w:r w:rsidRPr="00D56423">
        <w:rPr>
          <w:rFonts w:ascii="Open Sans" w:eastAsia="Times New Roman" w:hAnsi="Open Sans" w:cs="Open Sans"/>
          <w:color w:val="696967"/>
          <w:sz w:val="17"/>
          <w:szCs w:val="17"/>
        </w:rPr>
        <w:t>1 hour ago</w:t>
      </w:r>
    </w:p>
    <w:p w:rsidR="00D56423" w:rsidRPr="00D56423" w:rsidRDefault="00D56423" w:rsidP="00D56423">
      <w:pPr>
        <w:shd w:val="clear" w:color="auto" w:fill="FFFFFF"/>
        <w:spacing w:before="150" w:after="150" w:line="345" w:lineRule="atLeast"/>
        <w:outlineLvl w:val="3"/>
        <w:rPr>
          <w:rFonts w:ascii="inherit" w:eastAsia="Times New Roman" w:hAnsi="inherit" w:cs="Open Sans"/>
          <w:b/>
          <w:bCs/>
          <w:caps/>
          <w:color w:val="333333"/>
          <w:spacing w:val="6"/>
          <w:sz w:val="21"/>
          <w:szCs w:val="21"/>
        </w:rPr>
      </w:pPr>
      <w:r w:rsidRPr="00D56423">
        <w:rPr>
          <w:rFonts w:ascii="inherit" w:eastAsia="Times New Roman" w:hAnsi="inherit" w:cs="Open Sans"/>
          <w:b/>
          <w:bCs/>
          <w:caps/>
          <w:color w:val="333333"/>
          <w:spacing w:val="6"/>
          <w:sz w:val="21"/>
          <w:szCs w:val="21"/>
        </w:rPr>
        <w:t>RECORD: 2</w:t>
      </w:r>
    </w:p>
    <w:tbl>
      <w:tblPr>
        <w:tblW w:w="0" w:type="auto"/>
        <w:tblCellMar>
          <w:top w:w="15" w:type="dxa"/>
          <w:left w:w="15" w:type="dxa"/>
          <w:bottom w:w="15" w:type="dxa"/>
          <w:right w:w="15" w:type="dxa"/>
        </w:tblCellMar>
        <w:tblLook w:val="04A0" w:firstRow="1" w:lastRow="0" w:firstColumn="1" w:lastColumn="0" w:noHBand="0" w:noVBand="1"/>
      </w:tblPr>
      <w:tblGrid>
        <w:gridCol w:w="1379"/>
        <w:gridCol w:w="7981"/>
      </w:tblGrid>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Title:</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Unique Relationships Between Self-Related Constructs, Social Anxiety, and Depression in a Non-Clinical Sample.</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Authors:</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Gregory, Bree</w:t>
            </w:r>
            <w:r w:rsidRPr="00D56423">
              <w:rPr>
                <w:rFonts w:ascii="Times New Roman" w:eastAsia="Times New Roman" w:hAnsi="Times New Roman" w:cs="Times New Roman"/>
                <w:sz w:val="16"/>
                <w:szCs w:val="16"/>
                <w:vertAlign w:val="superscript"/>
              </w:rPr>
              <w:t>1</w:t>
            </w:r>
            <w:r w:rsidRPr="00D56423">
              <w:rPr>
                <w:rFonts w:ascii="Times New Roman" w:eastAsia="Times New Roman" w:hAnsi="Times New Roman" w:cs="Times New Roman"/>
                <w:sz w:val="21"/>
                <w:szCs w:val="21"/>
              </w:rPr>
              <w:br/>
              <w:t>Peters, Lorna</w:t>
            </w:r>
            <w:r w:rsidRPr="00D56423">
              <w:rPr>
                <w:rFonts w:ascii="Times New Roman" w:eastAsia="Times New Roman" w:hAnsi="Times New Roman" w:cs="Times New Roman"/>
                <w:sz w:val="16"/>
                <w:szCs w:val="16"/>
                <w:vertAlign w:val="superscript"/>
              </w:rPr>
              <w:t>1</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Source:</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proofErr w:type="spellStart"/>
            <w:r w:rsidRPr="00D56423">
              <w:rPr>
                <w:rFonts w:ascii="Times New Roman" w:eastAsia="Times New Roman" w:hAnsi="Times New Roman" w:cs="Times New Roman"/>
                <w:sz w:val="21"/>
                <w:szCs w:val="21"/>
              </w:rPr>
              <w:t>Behaviour</w:t>
            </w:r>
            <w:proofErr w:type="spellEnd"/>
            <w:r w:rsidRPr="00D56423">
              <w:rPr>
                <w:rFonts w:ascii="Times New Roman" w:eastAsia="Times New Roman" w:hAnsi="Times New Roman" w:cs="Times New Roman"/>
                <w:sz w:val="21"/>
                <w:szCs w:val="21"/>
              </w:rPr>
              <w:t xml:space="preserve"> Change; Jun2017, Vol. 34 Issue 2, p117-133, 17p</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Document Type:</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Article</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Subjects:</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Mental depression</w:t>
            </w:r>
            <w:r w:rsidRPr="00D56423">
              <w:rPr>
                <w:rFonts w:ascii="Times New Roman" w:eastAsia="Times New Roman" w:hAnsi="Times New Roman" w:cs="Times New Roman"/>
                <w:sz w:val="21"/>
                <w:szCs w:val="21"/>
              </w:rPr>
              <w:br/>
              <w:t>Self-esteem</w:t>
            </w:r>
            <w:r w:rsidRPr="00D56423">
              <w:rPr>
                <w:rFonts w:ascii="Times New Roman" w:eastAsia="Times New Roman" w:hAnsi="Times New Roman" w:cs="Times New Roman"/>
                <w:sz w:val="21"/>
                <w:szCs w:val="21"/>
              </w:rPr>
              <w:br/>
              <w:t>Social anxiety</w:t>
            </w:r>
            <w:r w:rsidRPr="00D56423">
              <w:rPr>
                <w:rFonts w:ascii="Times New Roman" w:eastAsia="Times New Roman" w:hAnsi="Times New Roman" w:cs="Times New Roman"/>
                <w:sz w:val="21"/>
                <w:szCs w:val="21"/>
              </w:rPr>
              <w:br/>
              <w:t>Regression analysis</w:t>
            </w:r>
            <w:r w:rsidRPr="00D56423">
              <w:rPr>
                <w:rFonts w:ascii="Times New Roman" w:eastAsia="Times New Roman" w:hAnsi="Times New Roman" w:cs="Times New Roman"/>
                <w:sz w:val="21"/>
                <w:szCs w:val="21"/>
              </w:rPr>
              <w:br/>
              <w:t>Self</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Author Supplied Keywords:</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depression</w:t>
            </w:r>
            <w:r w:rsidRPr="00D56423">
              <w:rPr>
                <w:rFonts w:ascii="Times New Roman" w:eastAsia="Times New Roman" w:hAnsi="Times New Roman" w:cs="Times New Roman"/>
                <w:sz w:val="21"/>
                <w:szCs w:val="21"/>
              </w:rPr>
              <w:br/>
            </w:r>
            <w:proofErr w:type="spellStart"/>
            <w:r w:rsidRPr="00D56423">
              <w:rPr>
                <w:rFonts w:ascii="Times New Roman" w:eastAsia="Times New Roman" w:hAnsi="Times New Roman" w:cs="Times New Roman"/>
                <w:sz w:val="21"/>
                <w:szCs w:val="21"/>
              </w:rPr>
              <w:t>self</w:t>
            </w:r>
            <w:r w:rsidRPr="00D56423">
              <w:rPr>
                <w:rFonts w:ascii="Times New Roman" w:eastAsia="Times New Roman" w:hAnsi="Times New Roman" w:cs="Times New Roman"/>
                <w:sz w:val="21"/>
                <w:szCs w:val="21"/>
              </w:rPr>
              <w:br/>
              <w:t>social</w:t>
            </w:r>
            <w:proofErr w:type="spellEnd"/>
            <w:r w:rsidRPr="00D56423">
              <w:rPr>
                <w:rFonts w:ascii="Times New Roman" w:eastAsia="Times New Roman" w:hAnsi="Times New Roman" w:cs="Times New Roman"/>
                <w:sz w:val="21"/>
                <w:szCs w:val="21"/>
              </w:rPr>
              <w:t xml:space="preserve"> anxiety</w:t>
            </w:r>
            <w:r w:rsidRPr="00D56423">
              <w:rPr>
                <w:rFonts w:ascii="Times New Roman" w:eastAsia="Times New Roman" w:hAnsi="Times New Roman" w:cs="Times New Roman"/>
                <w:sz w:val="21"/>
                <w:szCs w:val="21"/>
              </w:rPr>
              <w:br/>
              <w:t>unique relationship</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Abstract:</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 xml:space="preserve">Self-related constructs feature prominently in cognitive models of both social anxiety and depression. However, few studies have simultaneously investigated the unique relationship between self-related constructs and social anxiety and depression, while also controlling for the association between the two variables. In the present study, 522 undergraduate students completed measures of maladaptive self-beliefs, self-esteem, self-criticism, self-focused </w:t>
            </w:r>
            <w:r w:rsidRPr="00D56423">
              <w:rPr>
                <w:rFonts w:ascii="Times New Roman" w:eastAsia="Times New Roman" w:hAnsi="Times New Roman" w:cs="Times New Roman"/>
                <w:sz w:val="21"/>
                <w:szCs w:val="21"/>
              </w:rPr>
              <w:lastRenderedPageBreak/>
              <w:t xml:space="preserve">attention, self-concept clarity, social comparison, and social anxiety and depression. Bivariate correlations demonstrated that self-related constructs not only significantly correlated with social anxiety but also with depression and other self-variables. When entered simultaneously, multiple regression analyses indicated that maladaptive self-beliefs were uniquely and positively associated with social anxiety and depression, while self-esteem and self-concept clarity were uniquely and negatively associated with social anxiety and depression. A unique positive association between private self-consciousness and depression was also found. Maladaptive self-beliefs and self-esteem were the constructs most strongly associated with social anxiety and depression respectively. These findings underscore the importance of a negative self-concept even in subclinical presentations and suggest that several key self-related constructs may represent </w:t>
            </w:r>
            <w:proofErr w:type="spellStart"/>
            <w:r w:rsidRPr="00D56423">
              <w:rPr>
                <w:rFonts w:ascii="Times New Roman" w:eastAsia="Times New Roman" w:hAnsi="Times New Roman" w:cs="Times New Roman"/>
                <w:sz w:val="21"/>
                <w:szCs w:val="21"/>
              </w:rPr>
              <w:t>transdiagnostic</w:t>
            </w:r>
            <w:proofErr w:type="spellEnd"/>
            <w:r w:rsidRPr="00D56423">
              <w:rPr>
                <w:rFonts w:ascii="Times New Roman" w:eastAsia="Times New Roman" w:hAnsi="Times New Roman" w:cs="Times New Roman"/>
                <w:sz w:val="21"/>
                <w:szCs w:val="21"/>
              </w:rPr>
              <w:t xml:space="preserve"> vulnerability factors linking social anxiety and depression. Future research should continue to uncover unique relationships between self-related variables and social anxiety and depression in both clinical and non-clinical samples. [ABSTRACT FROM AUTHOR]</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i/>
                <w:iCs/>
                <w:sz w:val="21"/>
                <w:szCs w:val="21"/>
              </w:rPr>
              <w:t xml:space="preserve">Copyright of </w:t>
            </w:r>
            <w:proofErr w:type="spellStart"/>
            <w:r w:rsidRPr="00D56423">
              <w:rPr>
                <w:rFonts w:ascii="Times New Roman" w:eastAsia="Times New Roman" w:hAnsi="Times New Roman" w:cs="Times New Roman"/>
                <w:i/>
                <w:iCs/>
                <w:sz w:val="21"/>
                <w:szCs w:val="21"/>
              </w:rPr>
              <w:t>Behaviour</w:t>
            </w:r>
            <w:proofErr w:type="spellEnd"/>
            <w:r w:rsidRPr="00D56423">
              <w:rPr>
                <w:rFonts w:ascii="Times New Roman" w:eastAsia="Times New Roman" w:hAnsi="Times New Roman" w:cs="Times New Roman"/>
                <w:i/>
                <w:iCs/>
                <w:sz w:val="21"/>
                <w:szCs w:val="21"/>
              </w:rPr>
              <w:t xml:space="preserve"> Change is the property of Cambridge University Press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r w:rsidRPr="00D56423">
              <w:rPr>
                <w:rFonts w:ascii="Times New Roman" w:eastAsia="Times New Roman" w:hAnsi="Times New Roman" w:cs="Times New Roman"/>
                <w:sz w:val="21"/>
                <w:szCs w:val="21"/>
              </w:rPr>
              <w:t> (Copyright applies to all Abstracts.)</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Author Affiliations:</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16"/>
                <w:szCs w:val="16"/>
                <w:vertAlign w:val="superscript"/>
              </w:rPr>
              <w:t>1</w:t>
            </w:r>
            <w:r w:rsidRPr="00D56423">
              <w:rPr>
                <w:rFonts w:ascii="Times New Roman" w:eastAsia="Times New Roman" w:hAnsi="Times New Roman" w:cs="Times New Roman"/>
                <w:sz w:val="21"/>
                <w:szCs w:val="21"/>
              </w:rPr>
              <w:t>Centre for Emotional Health, Department of Psychology, Macquarie University, Sydney, New South Wales, Australia</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ISSN:</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08134839</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DOI:</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10.1017/bec.2017.9</w:t>
            </w:r>
          </w:p>
        </w:tc>
      </w:tr>
      <w:tr w:rsidR="00D56423" w:rsidRPr="00D56423" w:rsidTr="00D56423">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b/>
                <w:bCs/>
                <w:sz w:val="21"/>
                <w:szCs w:val="21"/>
              </w:rPr>
              <w:t>Accession Number:</w:t>
            </w:r>
          </w:p>
        </w:tc>
        <w:tc>
          <w:tcPr>
            <w:tcW w:w="0" w:type="auto"/>
            <w:shd w:val="clear" w:color="auto" w:fill="auto"/>
            <w:tcMar>
              <w:top w:w="0" w:type="dxa"/>
              <w:left w:w="0" w:type="dxa"/>
              <w:bottom w:w="0" w:type="dxa"/>
              <w:right w:w="0" w:type="dxa"/>
            </w:tcMar>
            <w:vAlign w:val="center"/>
            <w:hideMark/>
          </w:tcPr>
          <w:p w:rsidR="00D56423" w:rsidRPr="00D56423" w:rsidRDefault="00D56423" w:rsidP="00D56423">
            <w:pPr>
              <w:spacing w:after="150" w:line="345" w:lineRule="atLeast"/>
              <w:rPr>
                <w:rFonts w:ascii="Times New Roman" w:eastAsia="Times New Roman" w:hAnsi="Times New Roman" w:cs="Times New Roman"/>
                <w:sz w:val="21"/>
                <w:szCs w:val="21"/>
              </w:rPr>
            </w:pPr>
            <w:r w:rsidRPr="00D56423">
              <w:rPr>
                <w:rFonts w:ascii="Times New Roman" w:eastAsia="Times New Roman" w:hAnsi="Times New Roman" w:cs="Times New Roman"/>
                <w:sz w:val="21"/>
                <w:szCs w:val="21"/>
              </w:rPr>
              <w:t>124863864</w:t>
            </w:r>
            <w:bookmarkStart w:id="0" w:name="_GoBack"/>
            <w:bookmarkEnd w:id="0"/>
          </w:p>
        </w:tc>
      </w:tr>
    </w:tbl>
    <w:p w:rsidR="003F0BD6" w:rsidRDefault="003F0BD6"/>
    <w:sectPr w:rsidR="003F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23"/>
    <w:rsid w:val="003F0BD6"/>
    <w:rsid w:val="00D5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64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6423"/>
    <w:rPr>
      <w:rFonts w:ascii="Times New Roman" w:eastAsia="Times New Roman" w:hAnsi="Times New Roman" w:cs="Times New Roman"/>
      <w:b/>
      <w:bCs/>
      <w:sz w:val="24"/>
      <w:szCs w:val="24"/>
    </w:rPr>
  </w:style>
  <w:style w:type="paragraph" w:styleId="NormalWeb">
    <w:name w:val="Normal (Web)"/>
    <w:basedOn w:val="Normal"/>
    <w:uiPriority w:val="99"/>
    <w:unhideWhenUsed/>
    <w:rsid w:val="00D564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423"/>
    <w:rPr>
      <w:b/>
      <w:bCs/>
    </w:rPr>
  </w:style>
  <w:style w:type="character" w:styleId="HTMLCite">
    <w:name w:val="HTML Cite"/>
    <w:basedOn w:val="DefaultParagraphFont"/>
    <w:uiPriority w:val="99"/>
    <w:semiHidden/>
    <w:unhideWhenUsed/>
    <w:rsid w:val="00D56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64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6423"/>
    <w:rPr>
      <w:rFonts w:ascii="Times New Roman" w:eastAsia="Times New Roman" w:hAnsi="Times New Roman" w:cs="Times New Roman"/>
      <w:b/>
      <w:bCs/>
      <w:sz w:val="24"/>
      <w:szCs w:val="24"/>
    </w:rPr>
  </w:style>
  <w:style w:type="paragraph" w:styleId="NormalWeb">
    <w:name w:val="Normal (Web)"/>
    <w:basedOn w:val="Normal"/>
    <w:uiPriority w:val="99"/>
    <w:unhideWhenUsed/>
    <w:rsid w:val="00D564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423"/>
    <w:rPr>
      <w:b/>
      <w:bCs/>
    </w:rPr>
  </w:style>
  <w:style w:type="character" w:styleId="HTMLCite">
    <w:name w:val="HTML Cite"/>
    <w:basedOn w:val="DefaultParagraphFont"/>
    <w:uiPriority w:val="99"/>
    <w:semiHidden/>
    <w:unhideWhenUsed/>
    <w:rsid w:val="00D56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9012">
      <w:bodyDiv w:val="1"/>
      <w:marLeft w:val="0"/>
      <w:marRight w:val="0"/>
      <w:marTop w:val="0"/>
      <w:marBottom w:val="0"/>
      <w:divBdr>
        <w:top w:val="none" w:sz="0" w:space="0" w:color="auto"/>
        <w:left w:val="none" w:sz="0" w:space="0" w:color="auto"/>
        <w:bottom w:val="none" w:sz="0" w:space="0" w:color="auto"/>
        <w:right w:val="none" w:sz="0" w:space="0" w:color="auto"/>
      </w:divBdr>
      <w:divsChild>
        <w:div w:id="7828145">
          <w:marLeft w:val="-225"/>
          <w:marRight w:val="-225"/>
          <w:marTop w:val="75"/>
          <w:marBottom w:val="0"/>
          <w:divBdr>
            <w:top w:val="none" w:sz="0" w:space="0" w:color="auto"/>
            <w:left w:val="none" w:sz="0" w:space="0" w:color="auto"/>
            <w:bottom w:val="none" w:sz="0" w:space="0" w:color="auto"/>
            <w:right w:val="none" w:sz="0" w:space="0" w:color="auto"/>
          </w:divBdr>
          <w:divsChild>
            <w:div w:id="1011298250">
              <w:marLeft w:val="0"/>
              <w:marRight w:val="0"/>
              <w:marTop w:val="0"/>
              <w:marBottom w:val="0"/>
              <w:divBdr>
                <w:top w:val="none" w:sz="0" w:space="0" w:color="auto"/>
                <w:left w:val="none" w:sz="0" w:space="0" w:color="auto"/>
                <w:bottom w:val="none" w:sz="0" w:space="0" w:color="auto"/>
                <w:right w:val="none" w:sz="0" w:space="0" w:color="auto"/>
              </w:divBdr>
              <w:divsChild>
                <w:div w:id="569193367">
                  <w:marLeft w:val="-225"/>
                  <w:marRight w:val="-225"/>
                  <w:marTop w:val="0"/>
                  <w:marBottom w:val="0"/>
                  <w:divBdr>
                    <w:top w:val="none" w:sz="0" w:space="0" w:color="auto"/>
                    <w:left w:val="none" w:sz="0" w:space="0" w:color="auto"/>
                    <w:bottom w:val="none" w:sz="0" w:space="0" w:color="auto"/>
                    <w:right w:val="none" w:sz="0" w:space="0" w:color="auto"/>
                  </w:divBdr>
                  <w:divsChild>
                    <w:div w:id="13104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0947">
          <w:marLeft w:val="-225"/>
          <w:marRight w:val="-225"/>
          <w:marTop w:val="75"/>
          <w:marBottom w:val="0"/>
          <w:divBdr>
            <w:top w:val="none" w:sz="0" w:space="0" w:color="auto"/>
            <w:left w:val="none" w:sz="0" w:space="0" w:color="auto"/>
            <w:bottom w:val="none" w:sz="0" w:space="0" w:color="auto"/>
            <w:right w:val="none" w:sz="0" w:space="0" w:color="auto"/>
          </w:divBdr>
          <w:divsChild>
            <w:div w:id="2090348398">
              <w:marLeft w:val="0"/>
              <w:marRight w:val="0"/>
              <w:marTop w:val="0"/>
              <w:marBottom w:val="0"/>
              <w:divBdr>
                <w:top w:val="none" w:sz="0" w:space="0" w:color="auto"/>
                <w:left w:val="none" w:sz="0" w:space="0" w:color="auto"/>
                <w:bottom w:val="none" w:sz="0" w:space="0" w:color="auto"/>
                <w:right w:val="none" w:sz="0" w:space="0" w:color="auto"/>
              </w:divBdr>
              <w:divsChild>
                <w:div w:id="769619299">
                  <w:marLeft w:val="-225"/>
                  <w:marRight w:val="-225"/>
                  <w:marTop w:val="0"/>
                  <w:marBottom w:val="0"/>
                  <w:divBdr>
                    <w:top w:val="none" w:sz="0" w:space="0" w:color="auto"/>
                    <w:left w:val="none" w:sz="0" w:space="0" w:color="auto"/>
                    <w:bottom w:val="none" w:sz="0" w:space="0" w:color="auto"/>
                    <w:right w:val="none" w:sz="0" w:space="0" w:color="auto"/>
                  </w:divBdr>
                  <w:divsChild>
                    <w:div w:id="2110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2020-04-21T17:59:00Z</dcterms:created>
  <dcterms:modified xsi:type="dcterms:W3CDTF">2020-04-21T18:02:00Z</dcterms:modified>
</cp:coreProperties>
</file>