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ook w:val="04A0" w:firstRow="1" w:lastRow="0" w:firstColumn="1" w:lastColumn="0" w:noHBand="0" w:noVBand="1"/>
      </w:tblPr>
      <w:tblGrid>
        <w:gridCol w:w="3171"/>
        <w:gridCol w:w="7714"/>
      </w:tblGrid>
      <w:tr w:rsidR="005C1C30" w14:paraId="2428C1A5" w14:textId="77777777" w:rsidTr="00006F93">
        <w:tc>
          <w:tcPr>
            <w:tcW w:w="10885" w:type="dxa"/>
            <w:gridSpan w:val="2"/>
            <w:shd w:val="clear" w:color="auto" w:fill="0070C0"/>
          </w:tcPr>
          <w:p w14:paraId="79BA38FE" w14:textId="77777777" w:rsidR="005C1C30" w:rsidRDefault="005C1C30" w:rsidP="005C1C30">
            <w:pPr>
              <w:jc w:val="center"/>
              <w:rPr>
                <w:sz w:val="72"/>
                <w:szCs w:val="72"/>
              </w:rPr>
            </w:pPr>
            <w:r>
              <w:rPr>
                <w:sz w:val="72"/>
                <w:szCs w:val="72"/>
              </w:rPr>
              <w:t>ISBAR</w:t>
            </w:r>
          </w:p>
          <w:p w14:paraId="78099F14" w14:textId="50C8439B" w:rsidR="005C1C30" w:rsidRPr="005C1C30" w:rsidRDefault="005C1C30" w:rsidP="005C1C30">
            <w:pPr>
              <w:jc w:val="center"/>
              <w:rPr>
                <w:sz w:val="56"/>
                <w:szCs w:val="56"/>
              </w:rPr>
            </w:pPr>
            <w:r>
              <w:rPr>
                <w:sz w:val="56"/>
                <w:szCs w:val="56"/>
              </w:rPr>
              <w:t>Communication Tool</w:t>
            </w:r>
          </w:p>
        </w:tc>
      </w:tr>
      <w:tr w:rsidR="005C1C30" w14:paraId="0D1D3C87" w14:textId="77777777" w:rsidTr="00006F93">
        <w:tc>
          <w:tcPr>
            <w:tcW w:w="3171" w:type="dxa"/>
            <w:shd w:val="clear" w:color="auto" w:fill="AEAAAA" w:themeFill="background2" w:themeFillShade="BF"/>
          </w:tcPr>
          <w:p w14:paraId="6970D0B0" w14:textId="0342FD74" w:rsidR="005C1C30" w:rsidRDefault="005C1C30" w:rsidP="005C1C30">
            <w:pPr>
              <w:jc w:val="center"/>
              <w:rPr>
                <w:b/>
                <w:bCs/>
                <w:sz w:val="72"/>
                <w:szCs w:val="72"/>
              </w:rPr>
            </w:pPr>
            <w:r>
              <w:rPr>
                <w:b/>
                <w:bCs/>
                <w:sz w:val="72"/>
                <w:szCs w:val="72"/>
              </w:rPr>
              <w:t>I</w:t>
            </w:r>
          </w:p>
          <w:p w14:paraId="3C02073C" w14:textId="0E689D46" w:rsidR="00006F93" w:rsidRPr="00006F93" w:rsidRDefault="00006F93" w:rsidP="005C1C30">
            <w:pPr>
              <w:jc w:val="center"/>
              <w:rPr>
                <w:b/>
                <w:bCs/>
                <w:sz w:val="40"/>
                <w:szCs w:val="40"/>
              </w:rPr>
            </w:pPr>
            <w:r w:rsidRPr="00006F93">
              <w:rPr>
                <w:b/>
                <w:bCs/>
                <w:sz w:val="40"/>
                <w:szCs w:val="40"/>
              </w:rPr>
              <w:t>Identify</w:t>
            </w:r>
          </w:p>
          <w:p w14:paraId="0E6284B3" w14:textId="77777777" w:rsidR="005C1C30" w:rsidRDefault="005C1C30"/>
          <w:p w14:paraId="5BB9FB2D" w14:textId="77777777" w:rsidR="005C1C30" w:rsidRDefault="005C1C30"/>
          <w:p w14:paraId="2FB1F131" w14:textId="74898B82" w:rsidR="005C1C30" w:rsidRDefault="005C1C30"/>
        </w:tc>
        <w:tc>
          <w:tcPr>
            <w:tcW w:w="7714" w:type="dxa"/>
          </w:tcPr>
          <w:p w14:paraId="587EA217" w14:textId="77777777" w:rsidR="005C1C30" w:rsidRDefault="005C1C30"/>
        </w:tc>
      </w:tr>
      <w:tr w:rsidR="005C1C30" w14:paraId="07A16701" w14:textId="77777777" w:rsidTr="00006F93">
        <w:tc>
          <w:tcPr>
            <w:tcW w:w="3171" w:type="dxa"/>
            <w:shd w:val="clear" w:color="auto" w:fill="AEAAAA" w:themeFill="background2" w:themeFillShade="BF"/>
          </w:tcPr>
          <w:p w14:paraId="75926604" w14:textId="5E663BED" w:rsidR="005C1C30" w:rsidRDefault="005C1C30" w:rsidP="005C1C30">
            <w:pPr>
              <w:jc w:val="center"/>
              <w:rPr>
                <w:b/>
                <w:bCs/>
                <w:sz w:val="72"/>
                <w:szCs w:val="72"/>
              </w:rPr>
            </w:pPr>
            <w:r>
              <w:rPr>
                <w:b/>
                <w:bCs/>
                <w:sz w:val="72"/>
                <w:szCs w:val="72"/>
              </w:rPr>
              <w:t>S</w:t>
            </w:r>
          </w:p>
          <w:p w14:paraId="7140BE78" w14:textId="0CA86A34" w:rsidR="005C1C30" w:rsidRPr="00006F93" w:rsidRDefault="00006F93" w:rsidP="00006F93">
            <w:pPr>
              <w:jc w:val="center"/>
              <w:rPr>
                <w:sz w:val="40"/>
                <w:szCs w:val="40"/>
              </w:rPr>
            </w:pPr>
            <w:r w:rsidRPr="00006F93">
              <w:rPr>
                <w:b/>
                <w:bCs/>
                <w:sz w:val="40"/>
                <w:szCs w:val="40"/>
              </w:rPr>
              <w:t>Situation</w:t>
            </w:r>
          </w:p>
          <w:p w14:paraId="0D6A65A9" w14:textId="77777777" w:rsidR="005C1C30" w:rsidRDefault="005C1C30"/>
          <w:p w14:paraId="0C252163" w14:textId="4E8E7453" w:rsidR="005C1C30" w:rsidRDefault="005C1C30"/>
          <w:p w14:paraId="35A7B74C" w14:textId="45CAB240" w:rsidR="005C1C30" w:rsidRDefault="005C1C30"/>
        </w:tc>
        <w:tc>
          <w:tcPr>
            <w:tcW w:w="7714" w:type="dxa"/>
          </w:tcPr>
          <w:p w14:paraId="7E2FB78C" w14:textId="77777777" w:rsidR="005C1C30" w:rsidRDefault="005C1C30"/>
        </w:tc>
      </w:tr>
      <w:tr w:rsidR="005C1C30" w14:paraId="7562E4EF" w14:textId="77777777" w:rsidTr="00006F93">
        <w:tc>
          <w:tcPr>
            <w:tcW w:w="3171" w:type="dxa"/>
            <w:shd w:val="clear" w:color="auto" w:fill="AEAAAA" w:themeFill="background2" w:themeFillShade="BF"/>
          </w:tcPr>
          <w:p w14:paraId="3BAC5879" w14:textId="33FEF760" w:rsidR="005C1C30" w:rsidRDefault="005C1C30" w:rsidP="005C1C30">
            <w:pPr>
              <w:jc w:val="center"/>
              <w:rPr>
                <w:b/>
                <w:bCs/>
                <w:sz w:val="72"/>
                <w:szCs w:val="72"/>
              </w:rPr>
            </w:pPr>
            <w:r>
              <w:rPr>
                <w:b/>
                <w:bCs/>
                <w:sz w:val="72"/>
                <w:szCs w:val="72"/>
              </w:rPr>
              <w:t>B</w:t>
            </w:r>
          </w:p>
          <w:p w14:paraId="5764F757" w14:textId="6D41BDBB" w:rsidR="00006F93" w:rsidRPr="00006F93" w:rsidRDefault="00006F93" w:rsidP="005C1C30">
            <w:pPr>
              <w:jc w:val="center"/>
              <w:rPr>
                <w:b/>
                <w:bCs/>
                <w:sz w:val="40"/>
                <w:szCs w:val="40"/>
              </w:rPr>
            </w:pPr>
            <w:r w:rsidRPr="00006F93">
              <w:rPr>
                <w:b/>
                <w:bCs/>
                <w:sz w:val="40"/>
                <w:szCs w:val="40"/>
              </w:rPr>
              <w:t>Background</w:t>
            </w:r>
          </w:p>
          <w:p w14:paraId="12B69CE9" w14:textId="77777777" w:rsidR="005C1C30" w:rsidRDefault="005C1C30"/>
          <w:p w14:paraId="741370C8" w14:textId="41DB51AE" w:rsidR="005C1C30" w:rsidRDefault="005C1C30"/>
          <w:p w14:paraId="15D95B40" w14:textId="77777777" w:rsidR="00006F93" w:rsidRDefault="00006F93"/>
          <w:p w14:paraId="55F94FA1" w14:textId="02AE4ED8" w:rsidR="005C1C30" w:rsidRDefault="005C1C30"/>
        </w:tc>
        <w:tc>
          <w:tcPr>
            <w:tcW w:w="7714" w:type="dxa"/>
          </w:tcPr>
          <w:p w14:paraId="5870AB27" w14:textId="77777777" w:rsidR="005C1C30" w:rsidRDefault="005C1C30"/>
        </w:tc>
      </w:tr>
      <w:tr w:rsidR="005C1C30" w14:paraId="1E5636A7" w14:textId="77777777" w:rsidTr="00006F93">
        <w:tc>
          <w:tcPr>
            <w:tcW w:w="3171" w:type="dxa"/>
            <w:shd w:val="clear" w:color="auto" w:fill="AEAAAA" w:themeFill="background2" w:themeFillShade="BF"/>
          </w:tcPr>
          <w:p w14:paraId="4833AA1B" w14:textId="0E18A2B4" w:rsidR="005C1C30" w:rsidRDefault="005C1C30" w:rsidP="005C1C30">
            <w:pPr>
              <w:jc w:val="center"/>
              <w:rPr>
                <w:b/>
                <w:bCs/>
                <w:sz w:val="72"/>
                <w:szCs w:val="72"/>
              </w:rPr>
            </w:pPr>
            <w:r>
              <w:rPr>
                <w:b/>
                <w:bCs/>
                <w:sz w:val="72"/>
                <w:szCs w:val="72"/>
              </w:rPr>
              <w:t>A</w:t>
            </w:r>
          </w:p>
          <w:p w14:paraId="622678EE" w14:textId="04F79822" w:rsidR="00006F93" w:rsidRPr="00006F93" w:rsidRDefault="00006F93" w:rsidP="005C1C30">
            <w:pPr>
              <w:jc w:val="center"/>
              <w:rPr>
                <w:b/>
                <w:bCs/>
                <w:sz w:val="40"/>
                <w:szCs w:val="40"/>
              </w:rPr>
            </w:pPr>
            <w:r w:rsidRPr="00006F93">
              <w:rPr>
                <w:b/>
                <w:bCs/>
                <w:sz w:val="40"/>
                <w:szCs w:val="40"/>
              </w:rPr>
              <w:t>Assessment</w:t>
            </w:r>
          </w:p>
          <w:p w14:paraId="15193523" w14:textId="77777777" w:rsidR="005C1C30" w:rsidRDefault="005C1C30"/>
          <w:p w14:paraId="39D41FFC" w14:textId="360C6B58" w:rsidR="005C1C30" w:rsidRDefault="005C1C30"/>
          <w:p w14:paraId="157EF074" w14:textId="77777777" w:rsidR="00006F93" w:rsidRDefault="00006F93"/>
          <w:p w14:paraId="6DF5A8FF" w14:textId="09D48A8E" w:rsidR="005C1C30" w:rsidRDefault="005C1C30"/>
        </w:tc>
        <w:tc>
          <w:tcPr>
            <w:tcW w:w="7714" w:type="dxa"/>
          </w:tcPr>
          <w:p w14:paraId="0461285D" w14:textId="77777777" w:rsidR="005C1C30" w:rsidRDefault="005C1C30"/>
        </w:tc>
      </w:tr>
      <w:tr w:rsidR="005C1C30" w14:paraId="01310ACF" w14:textId="77777777" w:rsidTr="00006F93">
        <w:tc>
          <w:tcPr>
            <w:tcW w:w="3171" w:type="dxa"/>
            <w:shd w:val="clear" w:color="auto" w:fill="AEAAAA" w:themeFill="background2" w:themeFillShade="BF"/>
          </w:tcPr>
          <w:p w14:paraId="227E502D" w14:textId="2D0E7BAD" w:rsidR="005C1C30" w:rsidRDefault="005C1C30"/>
          <w:p w14:paraId="1FAB6CEC" w14:textId="57E0EB6C" w:rsidR="005C1C30" w:rsidRDefault="00006F93" w:rsidP="00006F93">
            <w:pPr>
              <w:jc w:val="center"/>
              <w:rPr>
                <w:b/>
                <w:bCs/>
                <w:sz w:val="72"/>
                <w:szCs w:val="72"/>
              </w:rPr>
            </w:pPr>
            <w:r>
              <w:rPr>
                <w:b/>
                <w:bCs/>
                <w:sz w:val="72"/>
                <w:szCs w:val="72"/>
              </w:rPr>
              <w:t>R</w:t>
            </w:r>
          </w:p>
          <w:p w14:paraId="6AB473D6" w14:textId="0042D6D6" w:rsidR="00006F93" w:rsidRPr="00006F93" w:rsidRDefault="00006F93" w:rsidP="00006F93">
            <w:pPr>
              <w:jc w:val="center"/>
              <w:rPr>
                <w:b/>
                <w:bCs/>
                <w:sz w:val="40"/>
                <w:szCs w:val="40"/>
              </w:rPr>
            </w:pPr>
            <w:r>
              <w:rPr>
                <w:b/>
                <w:bCs/>
                <w:sz w:val="40"/>
                <w:szCs w:val="40"/>
              </w:rPr>
              <w:t>Recommendation</w:t>
            </w:r>
          </w:p>
          <w:p w14:paraId="5AB24826" w14:textId="77777777" w:rsidR="005C1C30" w:rsidRDefault="005C1C30"/>
          <w:p w14:paraId="05AD8D9B" w14:textId="77777777" w:rsidR="005C1C30" w:rsidRDefault="005C1C30"/>
          <w:p w14:paraId="168BF5A4" w14:textId="77777777" w:rsidR="005C1C30" w:rsidRDefault="005C1C30"/>
          <w:p w14:paraId="6C7B675A" w14:textId="6E1E2C07" w:rsidR="005C1C30" w:rsidRDefault="005C1C30"/>
        </w:tc>
        <w:tc>
          <w:tcPr>
            <w:tcW w:w="7714" w:type="dxa"/>
          </w:tcPr>
          <w:p w14:paraId="5538DADC" w14:textId="77777777" w:rsidR="005C1C30" w:rsidRDefault="005C1C30"/>
        </w:tc>
      </w:tr>
    </w:tbl>
    <w:p w14:paraId="14E30046" w14:textId="638E2D4F" w:rsidR="005C1C30" w:rsidRDefault="005C1C30"/>
    <w:p w14:paraId="606D0C29" w14:textId="3B912EA9" w:rsidR="005C1C30" w:rsidRDefault="005C1C30"/>
    <w:p w14:paraId="36F6C42C" w14:textId="0D0C5E61" w:rsidR="00C4535B" w:rsidRDefault="00C4535B">
      <w:r>
        <w:lastRenderedPageBreak/>
        <w:t>Print out 2 ISBAR forms.</w:t>
      </w:r>
    </w:p>
    <w:p w14:paraId="4BB7CEED" w14:textId="25560CC0" w:rsidR="002D7318" w:rsidRDefault="00C4535B">
      <w:r>
        <w:t>Watch the Youtube video and take report as if you are the nurse coming on duty</w:t>
      </w:r>
      <w:r w:rsidR="003B4242">
        <w:t>, Patty</w:t>
      </w:r>
      <w:r>
        <w:t>. Fill out the ISBAR.</w:t>
      </w:r>
    </w:p>
    <w:p w14:paraId="39EBE1DB" w14:textId="3721CEA9" w:rsidR="00C4535B" w:rsidRDefault="00C4535B">
      <w:r w:rsidRPr="00C4535B">
        <w:t xml:space="preserve"> </w:t>
      </w:r>
      <w:r w:rsidR="003B4242" w:rsidRPr="003B4242">
        <w:t>https://www.youtube.com/watch?v=RHpbuljThoc</w:t>
      </w:r>
    </w:p>
    <w:p w14:paraId="14BEDFB1" w14:textId="2E8D700E" w:rsidR="00C4535B" w:rsidRDefault="00C4535B">
      <w:r>
        <w:t xml:space="preserve">Submit this form under the ISBAR assignment. </w:t>
      </w:r>
    </w:p>
    <w:p w14:paraId="03109821" w14:textId="72667680" w:rsidR="00C4535B" w:rsidRDefault="00C4535B">
      <w:pPr>
        <w:pBdr>
          <w:bottom w:val="single" w:sz="12" w:space="1" w:color="auto"/>
        </w:pBdr>
      </w:pPr>
      <w:r>
        <w:t>The second ISBAR is for you to give me report after your shift as the patient’s nurse. This can be done after the math exam on Wednesday 2/17/21 or you can send me a recording of you giving me report on the patient.</w:t>
      </w:r>
    </w:p>
    <w:p w14:paraId="65CC529E" w14:textId="0104163C" w:rsidR="00C4535B" w:rsidRDefault="00C4535B" w:rsidP="00C4535B">
      <w:pPr>
        <w:jc w:val="center"/>
        <w:rPr>
          <w:sz w:val="40"/>
          <w:szCs w:val="40"/>
        </w:rPr>
      </w:pPr>
      <w:r>
        <w:rPr>
          <w:sz w:val="40"/>
          <w:szCs w:val="40"/>
        </w:rPr>
        <w:t>Your Shift</w:t>
      </w:r>
    </w:p>
    <w:p w14:paraId="14D5AFF3" w14:textId="10F446B4" w:rsidR="00C4535B" w:rsidRDefault="003B4242" w:rsidP="00C4535B">
      <w:pPr>
        <w:rPr>
          <w:sz w:val="24"/>
          <w:szCs w:val="24"/>
        </w:rPr>
      </w:pPr>
      <w:r>
        <w:rPr>
          <w:sz w:val="24"/>
          <w:szCs w:val="24"/>
        </w:rPr>
        <w:t>It is 4:00pm</w:t>
      </w:r>
      <w:r w:rsidR="00C4535B">
        <w:rPr>
          <w:sz w:val="24"/>
          <w:szCs w:val="24"/>
        </w:rPr>
        <w:t xml:space="preserve">, you go to assess your patient. </w:t>
      </w:r>
      <w:r>
        <w:rPr>
          <w:sz w:val="24"/>
          <w:szCs w:val="24"/>
        </w:rPr>
        <w:t>You</w:t>
      </w:r>
      <w:r w:rsidR="00ED4205">
        <w:rPr>
          <w:sz w:val="24"/>
          <w:szCs w:val="24"/>
        </w:rPr>
        <w:t>r</w:t>
      </w:r>
      <w:bookmarkStart w:id="0" w:name="_GoBack"/>
      <w:bookmarkEnd w:id="0"/>
      <w:r>
        <w:rPr>
          <w:sz w:val="24"/>
          <w:szCs w:val="24"/>
        </w:rPr>
        <w:t xml:space="preserve"> patient has no neurological changes and is responding to questions. She states her pain is still at a level “3”, but it is tolerable. </w:t>
      </w:r>
    </w:p>
    <w:p w14:paraId="74C8CCCD" w14:textId="1F024652" w:rsidR="003B4242" w:rsidRDefault="003B4242" w:rsidP="00C4535B">
      <w:pPr>
        <w:rPr>
          <w:sz w:val="24"/>
          <w:szCs w:val="24"/>
        </w:rPr>
      </w:pPr>
      <w:r>
        <w:rPr>
          <w:sz w:val="24"/>
          <w:szCs w:val="24"/>
        </w:rPr>
        <w:t>Lungs are clear with fine crackles in the lower lobes. O2 saturation is 94% on 3 liters of oxygen.  You lower the oxygen to 2 liters and continue your assessment. Her skin is warm and dry no cyanosis. Distal pulses are palpable. Abdomen is soft and bowel sounds are present. Her IV is running and no leaking or swelling.</w:t>
      </w:r>
    </w:p>
    <w:p w14:paraId="48D09851" w14:textId="35544CED" w:rsidR="003B4242" w:rsidRDefault="003B4242" w:rsidP="00C4535B">
      <w:pPr>
        <w:rPr>
          <w:sz w:val="24"/>
          <w:szCs w:val="24"/>
        </w:rPr>
      </w:pPr>
      <w:r>
        <w:rPr>
          <w:sz w:val="24"/>
          <w:szCs w:val="24"/>
        </w:rPr>
        <w:t xml:space="preserve">Before you leave the room, you ask her if she needs anything and remind her to use her call bell for assistance to get out of bed. Call bell is within reach of the patient. Bed is locked and in the lowest position. </w:t>
      </w:r>
    </w:p>
    <w:p w14:paraId="6DDA6397" w14:textId="11D2E2EA" w:rsidR="00D63F2D" w:rsidRDefault="00D63F2D" w:rsidP="00C4535B">
      <w:pPr>
        <w:rPr>
          <w:sz w:val="24"/>
          <w:szCs w:val="24"/>
        </w:rPr>
      </w:pPr>
      <w:r>
        <w:rPr>
          <w:sz w:val="24"/>
          <w:szCs w:val="24"/>
        </w:rPr>
        <w:t>Later the patient care assistanc</w:t>
      </w:r>
      <w:r w:rsidR="0042058E">
        <w:rPr>
          <w:sz w:val="24"/>
          <w:szCs w:val="24"/>
        </w:rPr>
        <w:t>e</w:t>
      </w:r>
      <w:r>
        <w:rPr>
          <w:sz w:val="24"/>
          <w:szCs w:val="24"/>
        </w:rPr>
        <w:t xml:space="preserve"> (PCA) yells for help. You get to the room and your patient is laying in the floor, face down. “I was just trying to get to the</w:t>
      </w:r>
      <w:r w:rsidR="0042058E">
        <w:rPr>
          <w:sz w:val="24"/>
          <w:szCs w:val="24"/>
        </w:rPr>
        <w:t xml:space="preserve"> toilet and tripped on my IV.” She lifts her</w:t>
      </w:r>
      <w:r>
        <w:rPr>
          <w:sz w:val="24"/>
          <w:szCs w:val="24"/>
        </w:rPr>
        <w:t xml:space="preserve"> arm and you see blood coming from the</w:t>
      </w:r>
      <w:r w:rsidR="0042058E">
        <w:rPr>
          <w:sz w:val="24"/>
          <w:szCs w:val="24"/>
        </w:rPr>
        <w:t xml:space="preserve"> IV site. It has come out of her</w:t>
      </w:r>
      <w:r>
        <w:rPr>
          <w:sz w:val="24"/>
          <w:szCs w:val="24"/>
        </w:rPr>
        <w:t xml:space="preserve"> arm. </w:t>
      </w:r>
    </w:p>
    <w:p w14:paraId="1D97B1EA" w14:textId="7EB142C2" w:rsidR="00D63F2D" w:rsidRDefault="00D63F2D" w:rsidP="00C4535B">
      <w:pPr>
        <w:rPr>
          <w:sz w:val="24"/>
          <w:szCs w:val="24"/>
        </w:rPr>
      </w:pPr>
      <w:r>
        <w:rPr>
          <w:sz w:val="24"/>
          <w:szCs w:val="24"/>
        </w:rPr>
        <w:t>Patient is alert and oriented to pers</w:t>
      </w:r>
      <w:r w:rsidR="0042058E">
        <w:rPr>
          <w:sz w:val="24"/>
          <w:szCs w:val="24"/>
        </w:rPr>
        <w:t>on, place, time and situation. She</w:t>
      </w:r>
      <w:r>
        <w:rPr>
          <w:sz w:val="24"/>
          <w:szCs w:val="24"/>
        </w:rPr>
        <w:t xml:space="preserve"> is able to move all of his extremities.</w:t>
      </w:r>
      <w:r w:rsidR="0042058E">
        <w:rPr>
          <w:sz w:val="24"/>
          <w:szCs w:val="24"/>
        </w:rPr>
        <w:t xml:space="preserve"> “I’m ok. My back is hurting some</w:t>
      </w:r>
      <w:r>
        <w:rPr>
          <w:sz w:val="24"/>
          <w:szCs w:val="24"/>
        </w:rPr>
        <w:t xml:space="preserve"> now.</w:t>
      </w:r>
      <w:r w:rsidR="0042058E">
        <w:rPr>
          <w:sz w:val="24"/>
          <w:szCs w:val="24"/>
        </w:rPr>
        <w:t xml:space="preserve"> I’m so embarrassed. I forgot about the compression stockings and tripped over the tubing. I thought I could go to the bathroom by myself.</w:t>
      </w:r>
      <w:r>
        <w:rPr>
          <w:sz w:val="24"/>
          <w:szCs w:val="24"/>
        </w:rPr>
        <w:t xml:space="preserve">” </w:t>
      </w:r>
      <w:r w:rsidR="0042058E">
        <w:rPr>
          <w:sz w:val="24"/>
          <w:szCs w:val="24"/>
        </w:rPr>
        <w:t>The healthcare provider (HCP)</w:t>
      </w:r>
      <w:r w:rsidR="00870559">
        <w:rPr>
          <w:sz w:val="24"/>
          <w:szCs w:val="24"/>
        </w:rPr>
        <w:t xml:space="preserve"> assesses the patient and the patient is assisted to bed.  </w:t>
      </w:r>
      <w:r w:rsidR="0042058E">
        <w:rPr>
          <w:sz w:val="24"/>
          <w:szCs w:val="24"/>
        </w:rPr>
        <w:t xml:space="preserve">An x-ray of the back is ordered. </w:t>
      </w:r>
    </w:p>
    <w:p w14:paraId="3D6C2CAB" w14:textId="55FB9370" w:rsidR="0042058E" w:rsidRDefault="0042058E" w:rsidP="00C4535B">
      <w:pPr>
        <w:rPr>
          <w:sz w:val="24"/>
          <w:szCs w:val="24"/>
        </w:rPr>
      </w:pPr>
      <w:r>
        <w:rPr>
          <w:sz w:val="24"/>
          <w:szCs w:val="24"/>
        </w:rPr>
        <w:t>You do a complete assessment and but a dr</w:t>
      </w:r>
      <w:r w:rsidR="00ED4205">
        <w:rPr>
          <w:sz w:val="24"/>
          <w:szCs w:val="24"/>
        </w:rPr>
        <w:t xml:space="preserve">essing on the bleeding IV site. </w:t>
      </w:r>
      <w:r>
        <w:rPr>
          <w:sz w:val="24"/>
          <w:szCs w:val="24"/>
        </w:rPr>
        <w:t xml:space="preserve">You call the IV team and they place a new IV # 20 in the left hand. You restart the IV fluid Lactated Ringers at 125 mL/hr. You completed the incident report as per hospital policy and notify the nursing supervisor of the fall. The x-ray was completed and awaiting results. </w:t>
      </w:r>
    </w:p>
    <w:p w14:paraId="7BA6584C" w14:textId="55E501CA" w:rsidR="00ED4205" w:rsidRDefault="0042058E" w:rsidP="00C4535B">
      <w:pPr>
        <w:rPr>
          <w:sz w:val="24"/>
          <w:szCs w:val="24"/>
        </w:rPr>
      </w:pPr>
      <w:r>
        <w:rPr>
          <w:sz w:val="24"/>
          <w:szCs w:val="24"/>
        </w:rPr>
        <w:t>It is 10pm and you are finishing up your work, when your patient’s call light goes off. She requests pain medication and rates her pain a “7” on the 0-10 numerical scale.</w:t>
      </w:r>
      <w:r w:rsidR="00ED4205">
        <w:rPr>
          <w:sz w:val="24"/>
          <w:szCs w:val="24"/>
        </w:rPr>
        <w:t xml:space="preserve"> You give the patient the pain medication as ordered. Her vital signs are T 98.8 orally, HR76 and regular, R 22 and unlabored, SPO2 93% on 2 Liters BP 132/76.</w:t>
      </w:r>
    </w:p>
    <w:p w14:paraId="5CA02E78" w14:textId="4D828CDB" w:rsidR="0042058E" w:rsidRDefault="0042058E" w:rsidP="00C4535B">
      <w:pPr>
        <w:rPr>
          <w:sz w:val="24"/>
          <w:szCs w:val="24"/>
        </w:rPr>
      </w:pPr>
      <w:r>
        <w:rPr>
          <w:sz w:val="24"/>
          <w:szCs w:val="24"/>
        </w:rPr>
        <w:t xml:space="preserve"> The HCP calls to check on your patient and says the x-ray was negative for fractures or dislocations. HCP </w:t>
      </w:r>
      <w:r w:rsidR="00ED4205">
        <w:rPr>
          <w:sz w:val="24"/>
          <w:szCs w:val="24"/>
        </w:rPr>
        <w:t>gives an order for out of bed as tolerated with assistance and also discontinues</w:t>
      </w:r>
      <w:r>
        <w:rPr>
          <w:sz w:val="24"/>
          <w:szCs w:val="24"/>
        </w:rPr>
        <w:t xml:space="preserve"> the compression</w:t>
      </w:r>
      <w:r w:rsidR="00ED4205">
        <w:rPr>
          <w:sz w:val="24"/>
          <w:szCs w:val="24"/>
        </w:rPr>
        <w:t xml:space="preserve"> stockings since the patient is ambulating.</w:t>
      </w:r>
      <w:r>
        <w:rPr>
          <w:sz w:val="24"/>
          <w:szCs w:val="24"/>
        </w:rPr>
        <w:t xml:space="preserve"> </w:t>
      </w:r>
    </w:p>
    <w:p w14:paraId="24628BAC" w14:textId="68228FD1" w:rsidR="00ED4205" w:rsidRPr="00C4535B" w:rsidRDefault="00ED4205" w:rsidP="00C4535B">
      <w:pPr>
        <w:rPr>
          <w:sz w:val="24"/>
          <w:szCs w:val="24"/>
        </w:rPr>
      </w:pPr>
      <w:r>
        <w:rPr>
          <w:sz w:val="24"/>
          <w:szCs w:val="24"/>
        </w:rPr>
        <w:t>It is now the change of shift and you need to give a verbal report to the oncoming nurse/your instructor.</w:t>
      </w:r>
    </w:p>
    <w:p w14:paraId="0B96DF58" w14:textId="72B36700" w:rsidR="00C4535B" w:rsidRDefault="00C4535B"/>
    <w:p w14:paraId="5CF7B73F" w14:textId="77777777" w:rsidR="00C4535B" w:rsidRDefault="00C4535B"/>
    <w:sectPr w:rsidR="00C4535B" w:rsidSect="00006F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71FC9" w14:textId="77777777" w:rsidR="00151AB1" w:rsidRDefault="00151AB1" w:rsidP="00006F93">
      <w:pPr>
        <w:spacing w:after="0" w:line="240" w:lineRule="auto"/>
      </w:pPr>
      <w:r>
        <w:separator/>
      </w:r>
    </w:p>
  </w:endnote>
  <w:endnote w:type="continuationSeparator" w:id="0">
    <w:p w14:paraId="7DDD3FC7" w14:textId="77777777" w:rsidR="00151AB1" w:rsidRDefault="00151AB1" w:rsidP="000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3780" w14:textId="77777777" w:rsidR="00151AB1" w:rsidRDefault="00151AB1" w:rsidP="00006F93">
      <w:pPr>
        <w:spacing w:after="0" w:line="240" w:lineRule="auto"/>
      </w:pPr>
      <w:r>
        <w:separator/>
      </w:r>
    </w:p>
  </w:footnote>
  <w:footnote w:type="continuationSeparator" w:id="0">
    <w:p w14:paraId="19A273C6" w14:textId="77777777" w:rsidR="00151AB1" w:rsidRDefault="00151AB1" w:rsidP="00006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30"/>
    <w:rsid w:val="00006F93"/>
    <w:rsid w:val="00151AB1"/>
    <w:rsid w:val="002D7318"/>
    <w:rsid w:val="003549CF"/>
    <w:rsid w:val="003B4242"/>
    <w:rsid w:val="0042058E"/>
    <w:rsid w:val="005C1C30"/>
    <w:rsid w:val="00870559"/>
    <w:rsid w:val="00C4535B"/>
    <w:rsid w:val="00D63F2D"/>
    <w:rsid w:val="00ED4205"/>
    <w:rsid w:val="00FB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A071"/>
  <w15:chartTrackingRefBased/>
  <w15:docId w15:val="{6D0A6C08-CA27-4475-A68A-F310D8CF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93"/>
  </w:style>
  <w:style w:type="paragraph" w:styleId="Footer">
    <w:name w:val="footer"/>
    <w:basedOn w:val="Normal"/>
    <w:link w:val="FooterChar"/>
    <w:uiPriority w:val="99"/>
    <w:unhideWhenUsed/>
    <w:rsid w:val="0000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Grieninger</dc:creator>
  <cp:keywords/>
  <dc:description/>
  <cp:lastModifiedBy>Terri Grieninger</cp:lastModifiedBy>
  <cp:revision>2</cp:revision>
  <dcterms:created xsi:type="dcterms:W3CDTF">2021-02-12T17:47:00Z</dcterms:created>
  <dcterms:modified xsi:type="dcterms:W3CDTF">2021-02-12T17:47:00Z</dcterms:modified>
</cp:coreProperties>
</file>