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B7" w:rsidRDefault="009A6FB7" w:rsidP="00396FB3">
      <w:pPr>
        <w:spacing w:after="0" w:line="480" w:lineRule="auto"/>
        <w:rPr>
          <w:lang w:val="en-GB"/>
        </w:rPr>
      </w:pPr>
    </w:p>
    <w:p w:rsidR="009A6FB7" w:rsidRDefault="009A6FB7" w:rsidP="00396FB3">
      <w:pPr>
        <w:spacing w:after="0" w:line="480" w:lineRule="auto"/>
        <w:rPr>
          <w:lang w:val="en-GB"/>
        </w:rPr>
      </w:pPr>
    </w:p>
    <w:p w:rsidR="009A6FB7" w:rsidRDefault="009A6FB7" w:rsidP="00396FB3">
      <w:pPr>
        <w:spacing w:after="0" w:line="480" w:lineRule="auto"/>
        <w:rPr>
          <w:lang w:val="en-GB"/>
        </w:rPr>
      </w:pPr>
    </w:p>
    <w:p w:rsidR="009A6FB7" w:rsidRDefault="009A6FB7" w:rsidP="00396FB3">
      <w:pPr>
        <w:spacing w:after="0" w:line="480" w:lineRule="auto"/>
        <w:rPr>
          <w:lang w:val="en-GB"/>
        </w:rPr>
      </w:pPr>
    </w:p>
    <w:p w:rsidR="009A6FB7" w:rsidRDefault="009A6FB7" w:rsidP="00396FB3">
      <w:pPr>
        <w:spacing w:after="0" w:line="480" w:lineRule="auto"/>
        <w:rPr>
          <w:lang w:val="en-GB"/>
        </w:rPr>
      </w:pPr>
    </w:p>
    <w:p w:rsidR="009A6FB7" w:rsidRDefault="009A6FB7" w:rsidP="00396FB3">
      <w:pPr>
        <w:spacing w:after="0" w:line="480" w:lineRule="auto"/>
        <w:rPr>
          <w:lang w:val="en-GB"/>
        </w:rPr>
      </w:pPr>
    </w:p>
    <w:p w:rsidR="009A6FB7" w:rsidRDefault="009A6FB7" w:rsidP="00396FB3">
      <w:pPr>
        <w:spacing w:after="0" w:line="480" w:lineRule="auto"/>
        <w:rPr>
          <w:lang w:val="en-GB"/>
        </w:rPr>
      </w:pPr>
    </w:p>
    <w:p w:rsidR="009A6FB7" w:rsidRDefault="009A6FB7" w:rsidP="00396FB3">
      <w:pPr>
        <w:spacing w:after="0" w:line="480" w:lineRule="auto"/>
        <w:rPr>
          <w:lang w:val="en-GB"/>
        </w:rPr>
      </w:pPr>
    </w:p>
    <w:p w:rsidR="009A6FB7" w:rsidRDefault="009A6FB7" w:rsidP="00396FB3">
      <w:pPr>
        <w:spacing w:after="0" w:line="480" w:lineRule="auto"/>
        <w:rPr>
          <w:lang w:val="en-GB"/>
        </w:rPr>
      </w:pPr>
    </w:p>
    <w:p w:rsidR="009A6FB7" w:rsidRDefault="009A6FB7" w:rsidP="00396FB3">
      <w:pPr>
        <w:spacing w:after="0" w:line="480" w:lineRule="auto"/>
        <w:rPr>
          <w:lang w:val="en-GB"/>
        </w:rPr>
      </w:pPr>
    </w:p>
    <w:p w:rsidR="009A6FB7" w:rsidRDefault="009A6FB7" w:rsidP="00396FB3">
      <w:pPr>
        <w:spacing w:after="0" w:line="480" w:lineRule="auto"/>
        <w:rPr>
          <w:lang w:val="en-GB"/>
        </w:rPr>
      </w:pPr>
    </w:p>
    <w:p w:rsidR="00CB39A6" w:rsidRDefault="00203AA0" w:rsidP="009A6FB7">
      <w:pPr>
        <w:spacing w:after="0" w:line="480" w:lineRule="auto"/>
        <w:jc w:val="center"/>
        <w:rPr>
          <w:lang w:val="en-GB"/>
        </w:rPr>
      </w:pPr>
      <w:r>
        <w:rPr>
          <w:lang w:val="en-GB"/>
        </w:rPr>
        <w:t>Fiscal Administration for the Harbour City Behavioural Health Centre</w:t>
      </w:r>
    </w:p>
    <w:p w:rsidR="00156370" w:rsidRDefault="00203AA0" w:rsidP="009A6FB7">
      <w:pPr>
        <w:spacing w:after="0" w:line="480" w:lineRule="auto"/>
        <w:jc w:val="center"/>
        <w:rPr>
          <w:lang w:val="en-GB"/>
        </w:rPr>
      </w:pPr>
      <w:r>
        <w:rPr>
          <w:lang w:val="en-GB"/>
        </w:rPr>
        <w:t>Name:</w:t>
      </w:r>
    </w:p>
    <w:p w:rsidR="00156370" w:rsidRDefault="00203AA0" w:rsidP="009A6FB7">
      <w:pPr>
        <w:spacing w:after="0" w:line="480" w:lineRule="auto"/>
        <w:jc w:val="center"/>
        <w:rPr>
          <w:lang w:val="en-GB"/>
        </w:rPr>
      </w:pPr>
      <w:r>
        <w:rPr>
          <w:lang w:val="en-GB"/>
        </w:rPr>
        <w:t>Institution:</w:t>
      </w:r>
    </w:p>
    <w:p w:rsidR="00156370" w:rsidRDefault="00203AA0" w:rsidP="009A6FB7">
      <w:pPr>
        <w:spacing w:after="0" w:line="480" w:lineRule="auto"/>
        <w:jc w:val="center"/>
        <w:rPr>
          <w:lang w:val="en-GB"/>
        </w:rPr>
      </w:pPr>
      <w:r>
        <w:rPr>
          <w:lang w:val="en-GB"/>
        </w:rPr>
        <w:t>Date:</w:t>
      </w:r>
    </w:p>
    <w:p w:rsidR="009A6FB7" w:rsidRDefault="009A6FB7" w:rsidP="00396FB3">
      <w:pPr>
        <w:spacing w:after="0" w:line="480" w:lineRule="auto"/>
        <w:ind w:firstLine="720"/>
        <w:rPr>
          <w:lang w:val="en-GB"/>
        </w:rPr>
      </w:pPr>
    </w:p>
    <w:p w:rsidR="009A6FB7" w:rsidRDefault="009A6FB7" w:rsidP="00396FB3">
      <w:pPr>
        <w:spacing w:after="0" w:line="480" w:lineRule="auto"/>
        <w:ind w:firstLine="720"/>
        <w:rPr>
          <w:lang w:val="en-GB"/>
        </w:rPr>
      </w:pPr>
    </w:p>
    <w:p w:rsidR="009A6FB7" w:rsidRDefault="009A6FB7" w:rsidP="00396FB3">
      <w:pPr>
        <w:spacing w:after="0" w:line="480" w:lineRule="auto"/>
        <w:ind w:firstLine="720"/>
        <w:rPr>
          <w:lang w:val="en-GB"/>
        </w:rPr>
      </w:pPr>
    </w:p>
    <w:p w:rsidR="009A6FB7" w:rsidRDefault="009A6FB7" w:rsidP="00396FB3">
      <w:pPr>
        <w:spacing w:after="0" w:line="480" w:lineRule="auto"/>
        <w:ind w:firstLine="720"/>
        <w:rPr>
          <w:lang w:val="en-GB"/>
        </w:rPr>
      </w:pPr>
    </w:p>
    <w:p w:rsidR="009A6FB7" w:rsidRDefault="009A6FB7" w:rsidP="00396FB3">
      <w:pPr>
        <w:spacing w:after="0" w:line="480" w:lineRule="auto"/>
        <w:ind w:firstLine="720"/>
        <w:rPr>
          <w:lang w:val="en-GB"/>
        </w:rPr>
      </w:pPr>
    </w:p>
    <w:p w:rsidR="009A6FB7" w:rsidRDefault="009A6FB7" w:rsidP="00396FB3">
      <w:pPr>
        <w:spacing w:after="0" w:line="480" w:lineRule="auto"/>
        <w:ind w:firstLine="720"/>
        <w:rPr>
          <w:lang w:val="en-GB"/>
        </w:rPr>
      </w:pPr>
    </w:p>
    <w:p w:rsidR="009A6FB7" w:rsidRDefault="009A6FB7" w:rsidP="00396FB3">
      <w:pPr>
        <w:spacing w:after="0" w:line="480" w:lineRule="auto"/>
        <w:ind w:firstLine="720"/>
        <w:rPr>
          <w:lang w:val="en-GB"/>
        </w:rPr>
      </w:pPr>
    </w:p>
    <w:p w:rsidR="00794456" w:rsidRDefault="00203AA0" w:rsidP="00396FB3">
      <w:pPr>
        <w:spacing w:after="0" w:line="480" w:lineRule="auto"/>
        <w:ind w:firstLine="720"/>
        <w:rPr>
          <w:lang w:val="en-GB"/>
        </w:rPr>
      </w:pPr>
      <w:r>
        <w:rPr>
          <w:lang w:val="en-GB"/>
        </w:rPr>
        <w:lastRenderedPageBreak/>
        <w:t xml:space="preserve">Healthcare organizations are classified as either profit or non-profit organizations. </w:t>
      </w:r>
      <w:r w:rsidR="00021CAA">
        <w:rPr>
          <w:lang w:val="en-GB"/>
        </w:rPr>
        <w:t>However, the financial reports are used to show the differences of the organizations</w:t>
      </w:r>
      <w:r w:rsidR="0048122C">
        <w:rPr>
          <w:lang w:val="en-GB"/>
        </w:rPr>
        <w:t xml:space="preserve">. </w:t>
      </w:r>
      <w:r w:rsidR="00D46CA4">
        <w:rPr>
          <w:lang w:val="en-GB"/>
        </w:rPr>
        <w:t>It is critical to understand the financial position since it helps the stakeholders appraise its productivity. Therefore, effectively analyze the HCBHC fiscal position requires an effective assessment of the curre</w:t>
      </w:r>
      <w:r w:rsidR="008914CD">
        <w:rPr>
          <w:lang w:val="en-GB"/>
        </w:rPr>
        <w:t>n</w:t>
      </w:r>
      <w:r w:rsidR="00D46CA4">
        <w:rPr>
          <w:lang w:val="en-GB"/>
        </w:rPr>
        <w:t xml:space="preserve">t budget and the projected budget. </w:t>
      </w:r>
      <w:r w:rsidR="008914CD">
        <w:rPr>
          <w:lang w:val="en-GB"/>
        </w:rPr>
        <w:t>It will therefore result in d</w:t>
      </w:r>
      <w:r w:rsidR="00256562">
        <w:rPr>
          <w:lang w:val="en-GB"/>
        </w:rPr>
        <w:t>efining</w:t>
      </w:r>
      <w:r w:rsidR="005A05F1">
        <w:rPr>
          <w:lang w:val="en-GB"/>
        </w:rPr>
        <w:t xml:space="preserve"> how </w:t>
      </w:r>
      <w:r w:rsidR="00D657E5">
        <w:rPr>
          <w:lang w:val="en-GB"/>
        </w:rPr>
        <w:t xml:space="preserve">efficient the plan will meet the facility's goals. </w:t>
      </w:r>
      <w:r w:rsidR="004657A3">
        <w:rPr>
          <w:lang w:val="en-GB"/>
        </w:rPr>
        <w:t xml:space="preserve">Additional study will focus on the </w:t>
      </w:r>
      <w:r w:rsidR="0011350D">
        <w:rPr>
          <w:lang w:val="en-GB"/>
        </w:rPr>
        <w:t xml:space="preserve">augmented services request, parts to reduce expenses, and increased </w:t>
      </w:r>
      <w:r w:rsidR="00FD153E">
        <w:rPr>
          <w:lang w:val="en-GB"/>
        </w:rPr>
        <w:t>proficiency in service delivery</w:t>
      </w:r>
      <w:r w:rsidR="0011350D">
        <w:rPr>
          <w:lang w:val="en-GB"/>
        </w:rPr>
        <w:t xml:space="preserve">. </w:t>
      </w:r>
      <w:r w:rsidR="00497CFB">
        <w:rPr>
          <w:lang w:val="en-GB"/>
        </w:rPr>
        <w:t xml:space="preserve">Therefore, the results </w:t>
      </w:r>
      <w:r w:rsidR="008E36E1">
        <w:rPr>
          <w:lang w:val="en-GB"/>
        </w:rPr>
        <w:t xml:space="preserve">from the analysis will point out </w:t>
      </w:r>
      <w:r w:rsidR="0091442B">
        <w:rPr>
          <w:lang w:val="en-GB"/>
        </w:rPr>
        <w:t xml:space="preserve">critical realities and </w:t>
      </w:r>
      <w:r w:rsidR="00CF0A12">
        <w:rPr>
          <w:lang w:val="en-GB"/>
        </w:rPr>
        <w:t>substitutes</w:t>
      </w:r>
      <w:r w:rsidR="00D3724A">
        <w:rPr>
          <w:lang w:val="en-GB"/>
        </w:rPr>
        <w:t xml:space="preserve"> leading to the success of HCBHC.</w:t>
      </w:r>
      <w:r w:rsidR="00CF0A12">
        <w:rPr>
          <w:lang w:val="en-GB"/>
        </w:rPr>
        <w:t xml:space="preserve"> Another outcome will include forecasting a course to achieve the facility's goals resulting from </w:t>
      </w:r>
      <w:r w:rsidR="000B1A19">
        <w:rPr>
          <w:lang w:val="en-GB"/>
        </w:rPr>
        <w:t>financial</w:t>
      </w:r>
      <w:r w:rsidR="00CF0A12">
        <w:rPr>
          <w:lang w:val="en-GB"/>
        </w:rPr>
        <w:t xml:space="preserve"> </w:t>
      </w:r>
      <w:r w:rsidR="000B1A19">
        <w:rPr>
          <w:lang w:val="en-GB"/>
        </w:rPr>
        <w:t>equilibrium</w:t>
      </w:r>
      <w:r>
        <w:rPr>
          <w:lang w:val="en-GB"/>
        </w:rPr>
        <w:t>.</w:t>
      </w:r>
    </w:p>
    <w:p w:rsidR="008D5089" w:rsidRDefault="00203AA0" w:rsidP="00396FB3">
      <w:pPr>
        <w:spacing w:after="0" w:line="480" w:lineRule="auto"/>
        <w:ind w:firstLine="720"/>
        <w:rPr>
          <w:lang w:val="en-GB"/>
        </w:rPr>
      </w:pPr>
      <w:r>
        <w:rPr>
          <w:lang w:val="en-GB"/>
        </w:rPr>
        <w:t>The financial</w:t>
      </w:r>
      <w:r>
        <w:rPr>
          <w:lang w:val="en-GB"/>
        </w:rPr>
        <w:t xml:space="preserve"> director heads the HCBHC finance unit. </w:t>
      </w:r>
      <w:r w:rsidR="002C73B9">
        <w:rPr>
          <w:lang w:val="en-GB"/>
        </w:rPr>
        <w:t xml:space="preserve">The financial director reports to the executive director, who </w:t>
      </w:r>
      <w:r w:rsidR="006B0134">
        <w:rPr>
          <w:lang w:val="en-GB"/>
        </w:rPr>
        <w:t>superintends</w:t>
      </w:r>
      <w:r w:rsidR="002C73B9">
        <w:rPr>
          <w:lang w:val="en-GB"/>
        </w:rPr>
        <w:t xml:space="preserve"> all HCBHC </w:t>
      </w:r>
      <w:r w:rsidR="006B0134">
        <w:rPr>
          <w:lang w:val="en-GB"/>
        </w:rPr>
        <w:t>monetary</w:t>
      </w:r>
      <w:r w:rsidR="002C73B9">
        <w:rPr>
          <w:lang w:val="en-GB"/>
        </w:rPr>
        <w:t xml:space="preserve"> </w:t>
      </w:r>
      <w:r w:rsidR="006B0134">
        <w:rPr>
          <w:lang w:val="en-GB"/>
        </w:rPr>
        <w:t>events</w:t>
      </w:r>
      <w:r w:rsidR="002C73B9">
        <w:rPr>
          <w:lang w:val="en-GB"/>
        </w:rPr>
        <w:t xml:space="preserve">. </w:t>
      </w:r>
      <w:r w:rsidR="005E625A">
        <w:rPr>
          <w:lang w:val="en-GB"/>
        </w:rPr>
        <w:t>The financial plays various vital roles to ensure the effective running of the firm</w:t>
      </w:r>
      <w:r w:rsidR="003A6C61">
        <w:rPr>
          <w:lang w:val="en-GB"/>
        </w:rPr>
        <w:t xml:space="preserve"> </w:t>
      </w:r>
      <w:r w:rsidR="003A6C61" w:rsidRPr="003A6C61">
        <w:t>(HCBHC, 2021)</w:t>
      </w:r>
      <w:r w:rsidR="005E625A">
        <w:rPr>
          <w:lang w:val="en-GB"/>
        </w:rPr>
        <w:t xml:space="preserve">. </w:t>
      </w:r>
      <w:r w:rsidR="00BC3D82">
        <w:rPr>
          <w:lang w:val="en-GB"/>
        </w:rPr>
        <w:t xml:space="preserve">These roles include </w:t>
      </w:r>
      <w:r w:rsidR="00DE0D81">
        <w:rPr>
          <w:lang w:val="en-GB"/>
        </w:rPr>
        <w:t xml:space="preserve">accounting, reporting, </w:t>
      </w:r>
      <w:r w:rsidR="007C2DCD">
        <w:rPr>
          <w:lang w:val="en-GB"/>
        </w:rPr>
        <w:t xml:space="preserve">budgeting, </w:t>
      </w:r>
      <w:r w:rsidR="00416BBD">
        <w:rPr>
          <w:lang w:val="en-GB"/>
        </w:rPr>
        <w:t xml:space="preserve">and adhering to all guidelines and international standards related to financial accounting. </w:t>
      </w:r>
      <w:r w:rsidR="0020716B">
        <w:rPr>
          <w:lang w:val="en-GB"/>
        </w:rPr>
        <w:t>Other employees invol</w:t>
      </w:r>
      <w:r w:rsidR="00817ABB">
        <w:rPr>
          <w:lang w:val="en-GB"/>
        </w:rPr>
        <w:t xml:space="preserve">ved in executing roles in this department are </w:t>
      </w:r>
      <w:r w:rsidR="002017D5">
        <w:rPr>
          <w:lang w:val="en-GB"/>
        </w:rPr>
        <w:t>accounts supervisor,</w:t>
      </w:r>
      <w:r w:rsidR="00AD57FF">
        <w:rPr>
          <w:lang w:val="en-GB"/>
        </w:rPr>
        <w:t xml:space="preserve"> </w:t>
      </w:r>
      <w:r w:rsidR="002017D5">
        <w:rPr>
          <w:lang w:val="en-GB"/>
        </w:rPr>
        <w:t>business operations supervisor, and medical records analyst</w:t>
      </w:r>
      <w:r w:rsidR="003A6C61">
        <w:rPr>
          <w:lang w:val="en-GB"/>
        </w:rPr>
        <w:t xml:space="preserve"> </w:t>
      </w:r>
      <w:r w:rsidR="003A6C61" w:rsidRPr="003A6C61">
        <w:t>(HCBHC, 2021)</w:t>
      </w:r>
      <w:r w:rsidR="002017D5">
        <w:rPr>
          <w:lang w:val="en-GB"/>
        </w:rPr>
        <w:t xml:space="preserve">. </w:t>
      </w:r>
      <w:r w:rsidR="00C55D22">
        <w:rPr>
          <w:lang w:val="en-GB"/>
        </w:rPr>
        <w:t xml:space="preserve">These workers present relevant information required for in financial accounting process. </w:t>
      </w:r>
    </w:p>
    <w:p w:rsidR="0065378A" w:rsidRPr="00E929D9" w:rsidRDefault="00203AA0" w:rsidP="00396FB3">
      <w:pPr>
        <w:spacing w:after="0" w:line="480" w:lineRule="auto"/>
        <w:rPr>
          <w:b/>
          <w:lang w:val="en-GB"/>
        </w:rPr>
      </w:pPr>
      <w:r w:rsidRPr="00E929D9">
        <w:rPr>
          <w:b/>
          <w:lang w:val="en-GB"/>
        </w:rPr>
        <w:t>Current and Projected Budgets</w:t>
      </w:r>
      <w:r w:rsidR="0088465C">
        <w:rPr>
          <w:b/>
          <w:lang w:val="en-GB"/>
        </w:rPr>
        <w:t xml:space="preserve"> </w:t>
      </w:r>
      <w:r w:rsidR="00781F03" w:rsidRPr="00E929D9">
        <w:rPr>
          <w:b/>
          <w:lang w:val="en-GB"/>
        </w:rPr>
        <w:t>of HCBHC</w:t>
      </w:r>
    </w:p>
    <w:p w:rsidR="00D12CC3" w:rsidRDefault="00203AA0" w:rsidP="00396FB3">
      <w:pPr>
        <w:spacing w:after="0" w:line="480" w:lineRule="auto"/>
        <w:ind w:firstLine="720"/>
        <w:rPr>
          <w:lang w:val="en-GB"/>
        </w:rPr>
      </w:pPr>
      <w:r>
        <w:rPr>
          <w:lang w:val="en-GB"/>
        </w:rPr>
        <w:t xml:space="preserve">The current and projected returns plus the expenses indicate disparities amid the real prerequisite and the budget. </w:t>
      </w:r>
      <w:r w:rsidR="00F043BA">
        <w:rPr>
          <w:lang w:val="en-GB"/>
        </w:rPr>
        <w:t xml:space="preserve">The facility receives its finances from its patients, </w:t>
      </w:r>
      <w:r w:rsidR="002F1668">
        <w:rPr>
          <w:lang w:val="en-GB"/>
        </w:rPr>
        <w:t>aids</w:t>
      </w:r>
      <w:r w:rsidR="00F043BA">
        <w:rPr>
          <w:lang w:val="en-GB"/>
        </w:rPr>
        <w:t>, events, and consultation services.</w:t>
      </w:r>
      <w:r w:rsidR="00B00FFD">
        <w:rPr>
          <w:lang w:val="en-GB"/>
        </w:rPr>
        <w:t xml:space="preserve"> </w:t>
      </w:r>
      <w:r w:rsidR="007D2890">
        <w:rPr>
          <w:lang w:val="en-GB"/>
        </w:rPr>
        <w:t>On analyzing</w:t>
      </w:r>
      <w:r w:rsidR="00FB40D7">
        <w:rPr>
          <w:lang w:val="en-GB"/>
        </w:rPr>
        <w:t xml:space="preserve"> the earning from the abo</w:t>
      </w:r>
      <w:r w:rsidR="007D2890">
        <w:rPr>
          <w:lang w:val="en-GB"/>
        </w:rPr>
        <w:t>v</w:t>
      </w:r>
      <w:r w:rsidR="00631B74">
        <w:rPr>
          <w:lang w:val="en-GB"/>
        </w:rPr>
        <w:t>e means, it is evident that there is an extensive positive return variation</w:t>
      </w:r>
      <w:r w:rsidR="00506C2B">
        <w:rPr>
          <w:lang w:val="en-GB"/>
        </w:rPr>
        <w:t xml:space="preserve"> </w:t>
      </w:r>
      <w:r w:rsidR="00506C2B" w:rsidRPr="00506C2B">
        <w:t>(HCBHC, 2021)</w:t>
      </w:r>
      <w:r w:rsidR="00631B74">
        <w:rPr>
          <w:lang w:val="en-GB"/>
        </w:rPr>
        <w:t xml:space="preserve">. That is amid the forecasted budget and </w:t>
      </w:r>
      <w:r w:rsidR="00631B74">
        <w:rPr>
          <w:lang w:val="en-GB"/>
        </w:rPr>
        <w:lastRenderedPageBreak/>
        <w:t>the real need.</w:t>
      </w:r>
      <w:r w:rsidR="00873899">
        <w:rPr>
          <w:lang w:val="en-GB"/>
        </w:rPr>
        <w:t xml:space="preserve"> It indicates the earnings will facilitate the delivery of services while achieving the demands of </w:t>
      </w:r>
      <w:r w:rsidR="000F58AE">
        <w:rPr>
          <w:lang w:val="en-GB"/>
        </w:rPr>
        <w:t>society.</w:t>
      </w:r>
      <w:r w:rsidR="001905C1">
        <w:rPr>
          <w:lang w:val="en-GB"/>
        </w:rPr>
        <w:t xml:space="preserve"> While on the other hand, when comparing the present and the projected budget, </w:t>
      </w:r>
      <w:r w:rsidR="009B15C6">
        <w:rPr>
          <w:lang w:val="en-GB"/>
        </w:rPr>
        <w:t>it is evident that there is a negative difference</w:t>
      </w:r>
      <w:r w:rsidR="00506C2B">
        <w:rPr>
          <w:lang w:val="en-GB"/>
        </w:rPr>
        <w:t xml:space="preserve"> </w:t>
      </w:r>
      <w:r w:rsidR="00506C2B" w:rsidRPr="00506C2B">
        <w:t>(HCBHC, 2021)</w:t>
      </w:r>
      <w:r w:rsidR="009B15C6">
        <w:rPr>
          <w:lang w:val="en-GB"/>
        </w:rPr>
        <w:t xml:space="preserve">. </w:t>
      </w:r>
      <w:r w:rsidR="006D7BF5">
        <w:rPr>
          <w:lang w:val="en-GB"/>
        </w:rPr>
        <w:t xml:space="preserve">Therefore, it is recommended to raise the budget based on governmental </w:t>
      </w:r>
      <w:r w:rsidR="00F0421C">
        <w:rPr>
          <w:lang w:val="en-GB"/>
        </w:rPr>
        <w:t>finance</w:t>
      </w:r>
      <w:r w:rsidR="006D7BF5">
        <w:rPr>
          <w:lang w:val="en-GB"/>
        </w:rPr>
        <w:t xml:space="preserve">, </w:t>
      </w:r>
      <w:r w:rsidR="00F0421C">
        <w:rPr>
          <w:lang w:val="en-GB"/>
        </w:rPr>
        <w:t>contributions</w:t>
      </w:r>
      <w:r w:rsidR="006D7BF5">
        <w:rPr>
          <w:lang w:val="en-GB"/>
        </w:rPr>
        <w:t xml:space="preserve">, and bank </w:t>
      </w:r>
      <w:r w:rsidR="00F0421C">
        <w:rPr>
          <w:lang w:val="en-GB"/>
        </w:rPr>
        <w:t>endowments</w:t>
      </w:r>
      <w:r w:rsidR="00583269">
        <w:rPr>
          <w:lang w:val="en-GB"/>
        </w:rPr>
        <w:t xml:space="preserve"> </w:t>
      </w:r>
      <w:r w:rsidR="00583269" w:rsidRPr="00583269">
        <w:t>(Blount et al., 2007)</w:t>
      </w:r>
      <w:r w:rsidR="003765DD">
        <w:rPr>
          <w:lang w:val="en-GB"/>
        </w:rPr>
        <w:t>.</w:t>
      </w:r>
    </w:p>
    <w:p w:rsidR="003765DD" w:rsidRDefault="00203AA0" w:rsidP="00396FB3">
      <w:pPr>
        <w:spacing w:after="0" w:line="480" w:lineRule="auto"/>
        <w:rPr>
          <w:b/>
          <w:lang w:val="en-GB"/>
        </w:rPr>
      </w:pPr>
      <w:r w:rsidRPr="00212A23">
        <w:rPr>
          <w:b/>
          <w:lang w:val="en-GB"/>
        </w:rPr>
        <w:t>HCBHC’s Budget Adequacy</w:t>
      </w:r>
    </w:p>
    <w:p w:rsidR="00212A23" w:rsidRDefault="00203AA0" w:rsidP="00396FB3">
      <w:pPr>
        <w:spacing w:after="0" w:line="480" w:lineRule="auto"/>
        <w:ind w:firstLine="720"/>
        <w:rPr>
          <w:lang w:val="en-GB"/>
        </w:rPr>
      </w:pPr>
      <w:r>
        <w:rPr>
          <w:lang w:val="en-GB"/>
        </w:rPr>
        <w:t xml:space="preserve">The reports indicate that various suggestions were made </w:t>
      </w:r>
      <w:r w:rsidR="005E5F13">
        <w:rPr>
          <w:lang w:val="en-GB"/>
        </w:rPr>
        <w:t>to address the adequacy</w:t>
      </w:r>
      <w:r w:rsidR="00037F94">
        <w:rPr>
          <w:lang w:val="en-GB"/>
        </w:rPr>
        <w:t xml:space="preserve"> of the budget. </w:t>
      </w:r>
      <w:r w:rsidR="00B0605C">
        <w:rPr>
          <w:lang w:val="en-GB"/>
        </w:rPr>
        <w:t xml:space="preserve">For instance, some areas such as Adult Clinical Services and Mental Health </w:t>
      </w:r>
      <w:r w:rsidR="007B277A">
        <w:rPr>
          <w:lang w:val="en-GB"/>
        </w:rPr>
        <w:t>recommended</w:t>
      </w:r>
      <w:r w:rsidR="00B0605C">
        <w:rPr>
          <w:lang w:val="en-GB"/>
        </w:rPr>
        <w:t xml:space="preserve"> imposing </w:t>
      </w:r>
      <w:r w:rsidR="004311A4">
        <w:rPr>
          <w:lang w:val="en-GB"/>
        </w:rPr>
        <w:t>layoffs, raising the examination</w:t>
      </w:r>
      <w:r w:rsidR="007B277A">
        <w:rPr>
          <w:lang w:val="en-GB"/>
        </w:rPr>
        <w:t xml:space="preserve"> services, and </w:t>
      </w:r>
      <w:r w:rsidR="00962D0C">
        <w:rPr>
          <w:lang w:val="en-GB"/>
        </w:rPr>
        <w:t>increasing cost-effectiveness</w:t>
      </w:r>
      <w:r w:rsidR="00621445">
        <w:rPr>
          <w:lang w:val="en-GB"/>
        </w:rPr>
        <w:t xml:space="preserve"> </w:t>
      </w:r>
      <w:r w:rsidR="00621445" w:rsidRPr="00621445">
        <w:t>(HCBHC, 2021)</w:t>
      </w:r>
      <w:r w:rsidR="00962D0C">
        <w:rPr>
          <w:lang w:val="en-GB"/>
        </w:rPr>
        <w:t xml:space="preserve">. </w:t>
      </w:r>
      <w:r w:rsidR="003F2009">
        <w:rPr>
          <w:lang w:val="en-GB"/>
        </w:rPr>
        <w:t xml:space="preserve">On the other hand, the Community-Based Services section recommended </w:t>
      </w:r>
      <w:r w:rsidR="00B432C1">
        <w:rPr>
          <w:lang w:val="en-GB"/>
        </w:rPr>
        <w:t xml:space="preserve">an in-depth examination of exhibition themes </w:t>
      </w:r>
      <w:r w:rsidR="00C04E7F">
        <w:rPr>
          <w:lang w:val="en-GB"/>
        </w:rPr>
        <w:t xml:space="preserve">and investigation on the risen need for homecare. </w:t>
      </w:r>
      <w:r w:rsidR="0038510E">
        <w:rPr>
          <w:lang w:val="en-GB"/>
        </w:rPr>
        <w:t xml:space="preserve">Other suggestions include </w:t>
      </w:r>
      <w:r w:rsidR="00DF5415">
        <w:rPr>
          <w:lang w:val="en-GB"/>
        </w:rPr>
        <w:t>holding more fundraisers and maximizing the numb</w:t>
      </w:r>
      <w:r w:rsidR="002E381B">
        <w:rPr>
          <w:lang w:val="en-GB"/>
        </w:rPr>
        <w:t xml:space="preserve">er of grant </w:t>
      </w:r>
      <w:r w:rsidR="00733142">
        <w:rPr>
          <w:lang w:val="en-GB"/>
        </w:rPr>
        <w:t>applications</w:t>
      </w:r>
      <w:r w:rsidR="002E381B">
        <w:rPr>
          <w:lang w:val="en-GB"/>
        </w:rPr>
        <w:t xml:space="preserve"> sent, besides campaigning for</w:t>
      </w:r>
      <w:r w:rsidR="00CF699C">
        <w:rPr>
          <w:lang w:val="en-GB"/>
        </w:rPr>
        <w:t xml:space="preserve"> the existing services offered</w:t>
      </w:r>
      <w:r w:rsidR="00F55AD4">
        <w:rPr>
          <w:lang w:val="en-GB"/>
        </w:rPr>
        <w:t xml:space="preserve"> </w:t>
      </w:r>
      <w:r w:rsidR="00F55AD4" w:rsidRPr="00F55AD4">
        <w:t>(HCBHC, 2021)</w:t>
      </w:r>
      <w:r w:rsidR="00CF699C">
        <w:rPr>
          <w:lang w:val="en-GB"/>
        </w:rPr>
        <w:t>.</w:t>
      </w:r>
    </w:p>
    <w:p w:rsidR="00CF699C" w:rsidRDefault="00203AA0" w:rsidP="00396FB3">
      <w:pPr>
        <w:spacing w:after="0" w:line="480" w:lineRule="auto"/>
        <w:ind w:firstLine="720"/>
        <w:rPr>
          <w:lang w:val="en-GB"/>
        </w:rPr>
      </w:pPr>
      <w:r>
        <w:rPr>
          <w:lang w:val="en-GB"/>
        </w:rPr>
        <w:t xml:space="preserve">Under the IT unit, </w:t>
      </w:r>
      <w:r w:rsidR="007F4D84">
        <w:rPr>
          <w:lang w:val="en-GB"/>
        </w:rPr>
        <w:t xml:space="preserve">some </w:t>
      </w:r>
      <w:r w:rsidR="00071BB5">
        <w:rPr>
          <w:lang w:val="en-GB"/>
        </w:rPr>
        <w:t>proposals</w:t>
      </w:r>
      <w:r w:rsidR="007F4D84">
        <w:rPr>
          <w:lang w:val="en-GB"/>
        </w:rPr>
        <w:t xml:space="preserve"> </w:t>
      </w:r>
      <w:r w:rsidR="00CF1A2D">
        <w:rPr>
          <w:lang w:val="en-GB"/>
        </w:rPr>
        <w:t>brought out includ</w:t>
      </w:r>
      <w:r w:rsidR="00957F16">
        <w:rPr>
          <w:lang w:val="en-GB"/>
        </w:rPr>
        <w:t>e</w:t>
      </w:r>
      <w:r w:rsidR="006F56A9">
        <w:rPr>
          <w:lang w:val="en-GB"/>
        </w:rPr>
        <w:t xml:space="preserve"> </w:t>
      </w:r>
      <w:r w:rsidR="00BB4E9F">
        <w:rPr>
          <w:lang w:val="en-GB"/>
        </w:rPr>
        <w:t>housing</w:t>
      </w:r>
      <w:r w:rsidR="001A0BB8">
        <w:rPr>
          <w:lang w:val="en-GB"/>
        </w:rPr>
        <w:t xml:space="preserve"> of </w:t>
      </w:r>
      <w:r w:rsidR="003E4EB8">
        <w:rPr>
          <w:lang w:val="en-GB"/>
        </w:rPr>
        <w:t xml:space="preserve">the </w:t>
      </w:r>
      <w:r w:rsidR="0040071F">
        <w:rPr>
          <w:lang w:val="en-GB"/>
        </w:rPr>
        <w:t xml:space="preserve">consumer’s </w:t>
      </w:r>
      <w:r w:rsidR="00C67D85">
        <w:rPr>
          <w:lang w:val="en-GB"/>
        </w:rPr>
        <w:t xml:space="preserve">cravings </w:t>
      </w:r>
      <w:r w:rsidR="001C60D6">
        <w:rPr>
          <w:lang w:val="en-GB"/>
        </w:rPr>
        <w:t xml:space="preserve">concerning the information technology in healthcare </w:t>
      </w:r>
      <w:r w:rsidR="001F4F98">
        <w:rPr>
          <w:lang w:val="en-GB"/>
        </w:rPr>
        <w:t>and ensure</w:t>
      </w:r>
      <w:r w:rsidR="008619F7">
        <w:rPr>
          <w:lang w:val="en-GB"/>
        </w:rPr>
        <w:t xml:space="preserve"> applica</w:t>
      </w:r>
      <w:r w:rsidR="00504916">
        <w:rPr>
          <w:lang w:val="en-GB"/>
        </w:rPr>
        <w:t>tion of the secure way of conta</w:t>
      </w:r>
      <w:r w:rsidR="008619F7">
        <w:rPr>
          <w:lang w:val="en-GB"/>
        </w:rPr>
        <w:t>c</w:t>
      </w:r>
      <w:r w:rsidR="00F40613">
        <w:rPr>
          <w:lang w:val="en-GB"/>
        </w:rPr>
        <w:t>t</w:t>
      </w:r>
      <w:r w:rsidR="007D076E">
        <w:rPr>
          <w:lang w:val="en-GB"/>
        </w:rPr>
        <w:t>ing clients. Other recommendations include</w:t>
      </w:r>
      <w:r w:rsidR="008619F7">
        <w:rPr>
          <w:lang w:val="en-GB"/>
        </w:rPr>
        <w:t xml:space="preserve"> tracking the effectiveness of service delivery, </w:t>
      </w:r>
      <w:r w:rsidR="001D1B65">
        <w:rPr>
          <w:lang w:val="en-GB"/>
        </w:rPr>
        <w:t xml:space="preserve">considering </w:t>
      </w:r>
      <w:r w:rsidR="008619F7">
        <w:rPr>
          <w:lang w:val="en-GB"/>
        </w:rPr>
        <w:t>employee</w:t>
      </w:r>
      <w:r w:rsidR="00E850EA">
        <w:rPr>
          <w:lang w:val="en-GB"/>
        </w:rPr>
        <w:t xml:space="preserve"> reductions, besides arran</w:t>
      </w:r>
      <w:r w:rsidR="003D3015">
        <w:rPr>
          <w:lang w:val="en-GB"/>
        </w:rPr>
        <w:t>g</w:t>
      </w:r>
      <w:r w:rsidR="00E850EA">
        <w:rPr>
          <w:lang w:val="en-GB"/>
        </w:rPr>
        <w:t>i</w:t>
      </w:r>
      <w:r w:rsidR="003D3015">
        <w:rPr>
          <w:lang w:val="en-GB"/>
        </w:rPr>
        <w:t>ng for additional training</w:t>
      </w:r>
      <w:r w:rsidR="0070469A">
        <w:rPr>
          <w:lang w:val="en-GB"/>
        </w:rPr>
        <w:t xml:space="preserve"> to enhance effective use of the </w:t>
      </w:r>
      <w:r w:rsidR="002077DB">
        <w:rPr>
          <w:lang w:val="en-GB"/>
        </w:rPr>
        <w:t xml:space="preserve">implemented </w:t>
      </w:r>
      <w:r w:rsidR="00287077">
        <w:rPr>
          <w:lang w:val="en-GB"/>
        </w:rPr>
        <w:t>H</w:t>
      </w:r>
      <w:r w:rsidR="002077DB">
        <w:rPr>
          <w:lang w:val="en-GB"/>
        </w:rPr>
        <w:t>IT systems</w:t>
      </w:r>
      <w:r w:rsidR="003D3015">
        <w:rPr>
          <w:lang w:val="en-GB"/>
        </w:rPr>
        <w:t xml:space="preserve">. </w:t>
      </w:r>
      <w:r w:rsidR="00FC536F">
        <w:rPr>
          <w:lang w:val="en-GB"/>
        </w:rPr>
        <w:t xml:space="preserve">The finance unit was not left behind as one of the main departments. </w:t>
      </w:r>
      <w:r w:rsidR="006656C5">
        <w:rPr>
          <w:lang w:val="en-GB"/>
        </w:rPr>
        <w:t>It recommended addition on the sources of finance</w:t>
      </w:r>
      <w:r w:rsidR="001041F8">
        <w:rPr>
          <w:lang w:val="en-GB"/>
        </w:rPr>
        <w:t xml:space="preserve"> </w:t>
      </w:r>
      <w:r w:rsidR="001041F8" w:rsidRPr="001041F8">
        <w:t>(HCBHC, 2021)</w:t>
      </w:r>
      <w:r w:rsidR="006656C5">
        <w:rPr>
          <w:lang w:val="en-GB"/>
        </w:rPr>
        <w:t xml:space="preserve">. </w:t>
      </w:r>
      <w:r w:rsidR="00BE1492">
        <w:rPr>
          <w:lang w:val="en-GB"/>
        </w:rPr>
        <w:t>While on the other hand, the HR unit announced some vacancies that need to be filled.</w:t>
      </w:r>
    </w:p>
    <w:p w:rsidR="00D411F7" w:rsidRPr="0025234D" w:rsidRDefault="00203AA0" w:rsidP="00396FB3">
      <w:pPr>
        <w:spacing w:after="0" w:line="480" w:lineRule="auto"/>
        <w:rPr>
          <w:b/>
          <w:lang w:val="en-GB"/>
        </w:rPr>
      </w:pPr>
      <w:r w:rsidRPr="0025234D">
        <w:rPr>
          <w:b/>
          <w:lang w:val="en-GB"/>
        </w:rPr>
        <w:t xml:space="preserve">Fiscal </w:t>
      </w:r>
      <w:r w:rsidR="0025234D" w:rsidRPr="0025234D">
        <w:rPr>
          <w:b/>
          <w:lang w:val="en-GB"/>
        </w:rPr>
        <w:t>Equilibrium</w:t>
      </w:r>
      <w:r w:rsidR="00B11E1B">
        <w:rPr>
          <w:b/>
          <w:lang w:val="en-GB"/>
        </w:rPr>
        <w:t xml:space="preserve"> of HCBHC</w:t>
      </w:r>
    </w:p>
    <w:p w:rsidR="00D411F7" w:rsidRDefault="00203AA0" w:rsidP="00396FB3">
      <w:pPr>
        <w:spacing w:after="0" w:line="480" w:lineRule="auto"/>
        <w:ind w:firstLine="720"/>
        <w:rPr>
          <w:lang w:val="en-GB"/>
        </w:rPr>
      </w:pPr>
      <w:r>
        <w:rPr>
          <w:lang w:val="en-GB"/>
        </w:rPr>
        <w:t xml:space="preserve">Fiscal steadiness will be achieved through </w:t>
      </w:r>
      <w:r w:rsidR="004F7681">
        <w:rPr>
          <w:lang w:val="en-GB"/>
        </w:rPr>
        <w:t xml:space="preserve">the continual </w:t>
      </w:r>
      <w:r w:rsidR="00BC3C46">
        <w:rPr>
          <w:lang w:val="en-GB"/>
        </w:rPr>
        <w:t>accomplishment</w:t>
      </w:r>
      <w:r w:rsidR="004F7681">
        <w:rPr>
          <w:lang w:val="en-GB"/>
        </w:rPr>
        <w:t xml:space="preserve"> of the </w:t>
      </w:r>
      <w:r w:rsidR="00503CDE">
        <w:rPr>
          <w:lang w:val="en-GB"/>
        </w:rPr>
        <w:t>customers’</w:t>
      </w:r>
      <w:r w:rsidR="00BC3C46">
        <w:rPr>
          <w:lang w:val="en-GB"/>
        </w:rPr>
        <w:t xml:space="preserve"> desires. </w:t>
      </w:r>
      <w:r w:rsidR="00503CDE">
        <w:rPr>
          <w:lang w:val="en-GB"/>
        </w:rPr>
        <w:t xml:space="preserve">It would be founded on the improvement of the </w:t>
      </w:r>
      <w:r w:rsidR="002F3325">
        <w:rPr>
          <w:lang w:val="en-GB"/>
        </w:rPr>
        <w:t>internal hospital</w:t>
      </w:r>
      <w:r w:rsidR="00E74256">
        <w:rPr>
          <w:lang w:val="en-GB"/>
        </w:rPr>
        <w:t xml:space="preserve"> structure </w:t>
      </w:r>
      <w:r w:rsidR="00E74256">
        <w:rPr>
          <w:lang w:val="en-GB"/>
        </w:rPr>
        <w:lastRenderedPageBreak/>
        <w:t>and minimizing and</w:t>
      </w:r>
      <w:r w:rsidR="002F3325">
        <w:rPr>
          <w:lang w:val="en-GB"/>
        </w:rPr>
        <w:t xml:space="preserve"> housing healthcare </w:t>
      </w:r>
      <w:r w:rsidR="00A31BC1">
        <w:rPr>
          <w:lang w:val="en-GB"/>
        </w:rPr>
        <w:t>transformations</w:t>
      </w:r>
      <w:r w:rsidR="002F3325">
        <w:rPr>
          <w:lang w:val="en-GB"/>
        </w:rPr>
        <w:t>.</w:t>
      </w:r>
      <w:r w:rsidR="002F6A3A">
        <w:rPr>
          <w:lang w:val="en-GB"/>
        </w:rPr>
        <w:t xml:space="preserve"> </w:t>
      </w:r>
      <w:r w:rsidR="0042260C">
        <w:rPr>
          <w:lang w:val="en-GB"/>
        </w:rPr>
        <w:t>Various prototypes</w:t>
      </w:r>
      <w:r w:rsidR="00265070">
        <w:rPr>
          <w:lang w:val="en-GB"/>
        </w:rPr>
        <w:t xml:space="preserve"> and </w:t>
      </w:r>
      <w:r w:rsidR="0042260C">
        <w:rPr>
          <w:lang w:val="en-GB"/>
        </w:rPr>
        <w:t>results</w:t>
      </w:r>
      <w:r w:rsidR="00265070">
        <w:rPr>
          <w:lang w:val="en-GB"/>
        </w:rPr>
        <w:t xml:space="preserve"> </w:t>
      </w:r>
      <w:r w:rsidR="00375347">
        <w:rPr>
          <w:lang w:val="en-GB"/>
        </w:rPr>
        <w:t xml:space="preserve">are </w:t>
      </w:r>
      <w:r w:rsidR="00686021">
        <w:rPr>
          <w:lang w:val="en-GB"/>
        </w:rPr>
        <w:t>under investiga</w:t>
      </w:r>
      <w:r w:rsidR="00F86A84">
        <w:rPr>
          <w:lang w:val="en-GB"/>
        </w:rPr>
        <w:t>tion</w:t>
      </w:r>
      <w:r w:rsidR="00B87D25">
        <w:rPr>
          <w:lang w:val="en-GB"/>
        </w:rPr>
        <w:t xml:space="preserve">, depicting </w:t>
      </w:r>
      <w:r w:rsidR="00F86A84">
        <w:rPr>
          <w:lang w:val="en-GB"/>
        </w:rPr>
        <w:t xml:space="preserve">a link </w:t>
      </w:r>
      <w:r w:rsidR="00B87D25">
        <w:rPr>
          <w:lang w:val="en-GB"/>
        </w:rPr>
        <w:t xml:space="preserve">to </w:t>
      </w:r>
      <w:r w:rsidR="0041413D">
        <w:rPr>
          <w:lang w:val="en-GB"/>
        </w:rPr>
        <w:t>budget</w:t>
      </w:r>
      <w:r w:rsidR="00B87D25">
        <w:rPr>
          <w:lang w:val="en-GB"/>
        </w:rPr>
        <w:t xml:space="preserve"> </w:t>
      </w:r>
      <w:r w:rsidR="0041413D">
        <w:rPr>
          <w:lang w:val="en-GB"/>
        </w:rPr>
        <w:t>lessening</w:t>
      </w:r>
      <w:r w:rsidR="00167D55">
        <w:rPr>
          <w:lang w:val="en-GB"/>
        </w:rPr>
        <w:t xml:space="preserve"> </w:t>
      </w:r>
      <w:r w:rsidR="00167D55" w:rsidRPr="00167D55">
        <w:t>(NCCBH, 2009)</w:t>
      </w:r>
      <w:r w:rsidR="00B87D25">
        <w:rPr>
          <w:lang w:val="en-GB"/>
        </w:rPr>
        <w:t xml:space="preserve">. </w:t>
      </w:r>
      <w:r w:rsidR="0041413D">
        <w:rPr>
          <w:lang w:val="en-GB"/>
        </w:rPr>
        <w:t xml:space="preserve">It is based on care inhibition, concentrated chronicity of infection, and </w:t>
      </w:r>
      <w:r w:rsidR="00CE323C">
        <w:rPr>
          <w:lang w:val="en-GB"/>
        </w:rPr>
        <w:t xml:space="preserve">amplified desire to seek patient care. </w:t>
      </w:r>
      <w:r w:rsidR="005B1881">
        <w:rPr>
          <w:lang w:val="en-GB"/>
        </w:rPr>
        <w:t>Therefore</w:t>
      </w:r>
      <w:r w:rsidR="00D428EA">
        <w:rPr>
          <w:lang w:val="en-GB"/>
        </w:rPr>
        <w:t>,</w:t>
      </w:r>
      <w:r w:rsidR="005B1881">
        <w:rPr>
          <w:lang w:val="en-GB"/>
        </w:rPr>
        <w:t xml:space="preserve"> </w:t>
      </w:r>
      <w:r w:rsidR="004B27C7">
        <w:rPr>
          <w:lang w:val="en-GB"/>
        </w:rPr>
        <w:t xml:space="preserve">productivity, budget growth, and fiscal accountability </w:t>
      </w:r>
      <w:r w:rsidR="0013721D">
        <w:rPr>
          <w:lang w:val="en-GB"/>
        </w:rPr>
        <w:t>are linked to the facility’s value</w:t>
      </w:r>
      <w:r w:rsidR="00EE3CA6">
        <w:rPr>
          <w:lang w:val="en-GB"/>
        </w:rPr>
        <w:t>s, vision, and mission</w:t>
      </w:r>
      <w:r w:rsidR="00875166" w:rsidRPr="00875166">
        <w:t xml:space="preserve"> </w:t>
      </w:r>
      <w:r w:rsidR="00875166">
        <w:t>(</w:t>
      </w:r>
      <w:r w:rsidR="00875166" w:rsidRPr="00875166">
        <w:t>Blount</w:t>
      </w:r>
      <w:r w:rsidR="00875166">
        <w:t xml:space="preserve"> et al., 2007)</w:t>
      </w:r>
      <w:r w:rsidR="0013721D">
        <w:rPr>
          <w:lang w:val="en-GB"/>
        </w:rPr>
        <w:t xml:space="preserve">. </w:t>
      </w:r>
    </w:p>
    <w:p w:rsidR="00F40738" w:rsidRDefault="00F40738" w:rsidP="00396FB3">
      <w:pPr>
        <w:spacing w:after="0" w:line="480" w:lineRule="auto"/>
        <w:rPr>
          <w:lang w:val="en-GB"/>
        </w:rPr>
      </w:pPr>
    </w:p>
    <w:p w:rsidR="007B317D" w:rsidRDefault="007B317D" w:rsidP="00396FB3">
      <w:pPr>
        <w:spacing w:after="0" w:line="480" w:lineRule="auto"/>
        <w:rPr>
          <w:lang w:val="en-GB"/>
        </w:rPr>
      </w:pPr>
    </w:p>
    <w:p w:rsidR="007B317D" w:rsidRDefault="007B317D" w:rsidP="00396FB3">
      <w:pPr>
        <w:spacing w:after="0" w:line="480" w:lineRule="auto"/>
        <w:rPr>
          <w:lang w:val="en-GB"/>
        </w:rPr>
      </w:pPr>
    </w:p>
    <w:p w:rsidR="007B317D" w:rsidRDefault="007B317D" w:rsidP="00396FB3">
      <w:pPr>
        <w:spacing w:after="0" w:line="480" w:lineRule="auto"/>
        <w:rPr>
          <w:lang w:val="en-GB"/>
        </w:rPr>
      </w:pPr>
    </w:p>
    <w:p w:rsidR="007B317D" w:rsidRDefault="007B317D" w:rsidP="00396FB3">
      <w:pPr>
        <w:spacing w:after="0" w:line="480" w:lineRule="auto"/>
        <w:rPr>
          <w:lang w:val="en-GB"/>
        </w:rPr>
      </w:pPr>
    </w:p>
    <w:p w:rsidR="007B317D" w:rsidRDefault="007B317D" w:rsidP="00396FB3">
      <w:pPr>
        <w:spacing w:after="0" w:line="480" w:lineRule="auto"/>
        <w:rPr>
          <w:lang w:val="en-GB"/>
        </w:rPr>
      </w:pPr>
    </w:p>
    <w:p w:rsidR="007B317D" w:rsidRDefault="007B317D" w:rsidP="00396FB3">
      <w:pPr>
        <w:spacing w:after="0" w:line="480" w:lineRule="auto"/>
        <w:rPr>
          <w:lang w:val="en-GB"/>
        </w:rPr>
      </w:pPr>
    </w:p>
    <w:p w:rsidR="007B317D" w:rsidRDefault="007B317D" w:rsidP="00396FB3">
      <w:pPr>
        <w:spacing w:after="0" w:line="480" w:lineRule="auto"/>
        <w:rPr>
          <w:lang w:val="en-GB"/>
        </w:rPr>
      </w:pPr>
    </w:p>
    <w:p w:rsidR="007B317D" w:rsidRDefault="007B317D" w:rsidP="00396FB3">
      <w:pPr>
        <w:spacing w:after="0" w:line="480" w:lineRule="auto"/>
        <w:rPr>
          <w:lang w:val="en-GB"/>
        </w:rPr>
      </w:pPr>
    </w:p>
    <w:p w:rsidR="007B317D" w:rsidRDefault="007B317D" w:rsidP="00396FB3">
      <w:pPr>
        <w:spacing w:after="0" w:line="480" w:lineRule="auto"/>
        <w:rPr>
          <w:lang w:val="en-GB"/>
        </w:rPr>
      </w:pPr>
    </w:p>
    <w:p w:rsidR="007B317D" w:rsidRDefault="007B317D" w:rsidP="00396FB3">
      <w:pPr>
        <w:spacing w:after="0" w:line="480" w:lineRule="auto"/>
        <w:rPr>
          <w:lang w:val="en-GB"/>
        </w:rPr>
      </w:pPr>
    </w:p>
    <w:p w:rsidR="007B317D" w:rsidRDefault="007B317D" w:rsidP="00396FB3">
      <w:pPr>
        <w:spacing w:after="0" w:line="480" w:lineRule="auto"/>
        <w:rPr>
          <w:lang w:val="en-GB"/>
        </w:rPr>
      </w:pPr>
    </w:p>
    <w:p w:rsidR="007B317D" w:rsidRDefault="007B317D" w:rsidP="00396FB3">
      <w:pPr>
        <w:spacing w:after="0" w:line="480" w:lineRule="auto"/>
        <w:rPr>
          <w:lang w:val="en-GB"/>
        </w:rPr>
      </w:pPr>
    </w:p>
    <w:p w:rsidR="007B317D" w:rsidRDefault="007B317D" w:rsidP="00396FB3">
      <w:pPr>
        <w:spacing w:after="0" w:line="480" w:lineRule="auto"/>
        <w:rPr>
          <w:lang w:val="en-GB"/>
        </w:rPr>
      </w:pPr>
    </w:p>
    <w:p w:rsidR="007B317D" w:rsidRDefault="007B317D" w:rsidP="00396FB3">
      <w:pPr>
        <w:spacing w:after="0" w:line="480" w:lineRule="auto"/>
        <w:rPr>
          <w:lang w:val="en-GB"/>
        </w:rPr>
      </w:pPr>
    </w:p>
    <w:p w:rsidR="00805C3A" w:rsidRDefault="00805C3A" w:rsidP="00396FB3">
      <w:pPr>
        <w:spacing w:after="0" w:line="480" w:lineRule="auto"/>
        <w:rPr>
          <w:lang w:val="en-GB"/>
        </w:rPr>
      </w:pPr>
    </w:p>
    <w:p w:rsidR="00805C3A" w:rsidRDefault="00805C3A" w:rsidP="00396FB3">
      <w:pPr>
        <w:spacing w:after="0" w:line="480" w:lineRule="auto"/>
        <w:rPr>
          <w:lang w:val="en-GB"/>
        </w:rPr>
      </w:pPr>
      <w:bookmarkStart w:id="0" w:name="_GoBack"/>
      <w:bookmarkEnd w:id="0"/>
    </w:p>
    <w:p w:rsidR="007B317D" w:rsidRDefault="007B317D" w:rsidP="00396FB3">
      <w:pPr>
        <w:spacing w:after="0" w:line="480" w:lineRule="auto"/>
        <w:rPr>
          <w:lang w:val="en-GB"/>
        </w:rPr>
      </w:pPr>
    </w:p>
    <w:p w:rsidR="00F40738" w:rsidRPr="0057476E" w:rsidRDefault="00203AA0" w:rsidP="007B317D">
      <w:pPr>
        <w:spacing w:after="0" w:line="480" w:lineRule="auto"/>
        <w:jc w:val="center"/>
        <w:rPr>
          <w:lang w:val="en-GB"/>
        </w:rPr>
      </w:pPr>
      <w:r w:rsidRPr="0057476E">
        <w:rPr>
          <w:lang w:val="en-GB"/>
        </w:rPr>
        <w:lastRenderedPageBreak/>
        <w:t>References</w:t>
      </w:r>
    </w:p>
    <w:p w:rsidR="007B317D" w:rsidRDefault="00203AA0" w:rsidP="007B317D">
      <w:pPr>
        <w:spacing w:after="0" w:line="480" w:lineRule="auto"/>
        <w:ind w:left="720" w:hanging="720"/>
      </w:pPr>
      <w:r w:rsidRPr="0025524C">
        <w:t xml:space="preserve">Blount, A., Schoenbaum, M., Kathol, R., </w:t>
      </w:r>
      <w:r w:rsidRPr="0025524C">
        <w:t>Rollman, B. L., Thomas, M., O'Donohue, W., &amp; Peek, C. J. (2007). The economics of behavioral health services in medical settings: A summary of the evidence. </w:t>
      </w:r>
      <w:r w:rsidRPr="0025524C">
        <w:rPr>
          <w:i/>
          <w:iCs/>
        </w:rPr>
        <w:t>Professional Psychology: Research and Practice</w:t>
      </w:r>
      <w:r w:rsidRPr="0025524C">
        <w:t>, </w:t>
      </w:r>
      <w:r w:rsidRPr="0025524C">
        <w:rPr>
          <w:i/>
          <w:iCs/>
        </w:rPr>
        <w:t>38</w:t>
      </w:r>
      <w:r w:rsidRPr="0025524C">
        <w:t>(3), 290.</w:t>
      </w:r>
    </w:p>
    <w:p w:rsidR="007B317D" w:rsidRPr="00212A23" w:rsidRDefault="00203AA0" w:rsidP="007B317D">
      <w:pPr>
        <w:spacing w:after="0" w:line="480" w:lineRule="auto"/>
        <w:ind w:left="720" w:hanging="720"/>
        <w:rPr>
          <w:lang w:val="en-GB"/>
        </w:rPr>
      </w:pPr>
      <w:r w:rsidRPr="00C74D79">
        <w:t>HCBHC. (2021). Harbor City. Retrieved 1</w:t>
      </w:r>
      <w:r w:rsidRPr="00C74D79">
        <w:t>8 April 2021, from http://mym.cdn.laureate-media.com/2dett4d/Walden/PBHL/2017/CH/mm/Harbor_City/index.html</w:t>
      </w:r>
    </w:p>
    <w:p w:rsidR="007B317D" w:rsidRDefault="00203AA0" w:rsidP="007B317D">
      <w:pPr>
        <w:spacing w:after="0" w:line="480" w:lineRule="auto"/>
        <w:ind w:left="720" w:hanging="720"/>
      </w:pPr>
      <w:r w:rsidRPr="00F248B7">
        <w:t xml:space="preserve">NCCBH. (2009). Healthcare payment reform and the behavioral health safety net are on the horizon for the commun | PCMH Resource Center. Retrieved 18 </w:t>
      </w:r>
      <w:r w:rsidRPr="00F248B7">
        <w:t xml:space="preserve">April 2021, from </w:t>
      </w:r>
      <w:hyperlink r:id="rId6" w:history="1">
        <w:r w:rsidRPr="00A02EB4">
          <w:rPr>
            <w:rStyle w:val="Hyperlink"/>
          </w:rPr>
          <w:t>https://pcmh.ahrq.gov/citation/healthcare-payment-reform-and-behavioral-health-safety-net-whats-horizon-commun</w:t>
        </w:r>
      </w:hyperlink>
    </w:p>
    <w:sectPr w:rsidR="007B317D" w:rsidSect="00246A0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AA0" w:rsidRDefault="00203AA0">
      <w:pPr>
        <w:spacing w:after="0" w:line="240" w:lineRule="auto"/>
      </w:pPr>
      <w:r>
        <w:separator/>
      </w:r>
    </w:p>
  </w:endnote>
  <w:endnote w:type="continuationSeparator" w:id="0">
    <w:p w:rsidR="00203AA0" w:rsidRDefault="0020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AA0" w:rsidRDefault="00203AA0">
      <w:pPr>
        <w:spacing w:after="0" w:line="240" w:lineRule="auto"/>
      </w:pPr>
      <w:r>
        <w:separator/>
      </w:r>
    </w:p>
  </w:footnote>
  <w:footnote w:type="continuationSeparator" w:id="0">
    <w:p w:rsidR="00203AA0" w:rsidRDefault="0020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04" w:rsidRPr="00246A04" w:rsidRDefault="00203AA0">
    <w:pPr>
      <w:pStyle w:val="Header"/>
      <w:rPr>
        <w:lang w:val="en-GB"/>
      </w:rPr>
    </w:pPr>
    <w:r>
      <w:rPr>
        <w:lang w:val="en-GB"/>
      </w:rPr>
      <w:t>FISCAL ADMINISTRATION FOR THE HCBHC</w:t>
    </w:r>
    <w:r w:rsidR="009A6FB7">
      <w:rPr>
        <w:lang w:val="en-GB"/>
      </w:rPr>
      <w:t xml:space="preserve">                                                                        </w:t>
    </w:r>
    <w:r w:rsidRPr="00246A04">
      <w:rPr>
        <w:lang w:val="en-GB"/>
      </w:rPr>
      <w:fldChar w:fldCharType="begin"/>
    </w:r>
    <w:r w:rsidRPr="00246A04">
      <w:rPr>
        <w:lang w:val="en-GB"/>
      </w:rPr>
      <w:instrText xml:space="preserve"> PAGE   \* MERGEFORMAT </w:instrText>
    </w:r>
    <w:r w:rsidRPr="00246A04">
      <w:rPr>
        <w:lang w:val="en-GB"/>
      </w:rPr>
      <w:fldChar w:fldCharType="separate"/>
    </w:r>
    <w:r w:rsidR="00805C3A">
      <w:rPr>
        <w:noProof/>
        <w:lang w:val="en-GB"/>
      </w:rPr>
      <w:t>5</w:t>
    </w:r>
    <w:r w:rsidRPr="00246A04">
      <w:rPr>
        <w:noProof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04" w:rsidRDefault="00203AA0">
    <w:pPr>
      <w:pStyle w:val="Header"/>
    </w:pPr>
    <w:r w:rsidRPr="00246A04">
      <w:rPr>
        <w:lang w:val="en-GB"/>
      </w:rPr>
      <w:t>Running head: FISCAL ADMINISTRATION FOR THE HCBHC</w:t>
    </w:r>
    <w:r>
      <w:rPr>
        <w:lang w:val="en-GB"/>
      </w:rPr>
      <w:t xml:space="preserve">  </w:t>
    </w:r>
    <w:r>
      <w:rPr>
        <w:lang w:val="en-GB"/>
      </w:rPr>
      <w:t xml:space="preserve">                                             </w:t>
    </w:r>
    <w:r w:rsidRPr="00246A04">
      <w:rPr>
        <w:lang w:val="en-GB"/>
      </w:rPr>
      <w:fldChar w:fldCharType="begin"/>
    </w:r>
    <w:r w:rsidRPr="00246A04">
      <w:rPr>
        <w:lang w:val="en-GB"/>
      </w:rPr>
      <w:instrText xml:space="preserve"> PAGE   \* MERGEFORMAT </w:instrText>
    </w:r>
    <w:r w:rsidRPr="00246A04">
      <w:rPr>
        <w:lang w:val="en-GB"/>
      </w:rPr>
      <w:fldChar w:fldCharType="separate"/>
    </w:r>
    <w:r w:rsidR="00805C3A">
      <w:rPr>
        <w:noProof/>
        <w:lang w:val="en-GB"/>
      </w:rPr>
      <w:t>1</w:t>
    </w:r>
    <w:r w:rsidRPr="00246A04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71"/>
    <w:rsid w:val="00021CAA"/>
    <w:rsid w:val="00037F94"/>
    <w:rsid w:val="00071BB5"/>
    <w:rsid w:val="000B1A19"/>
    <w:rsid w:val="000F58AE"/>
    <w:rsid w:val="001041F8"/>
    <w:rsid w:val="001078A4"/>
    <w:rsid w:val="0011350D"/>
    <w:rsid w:val="00125E9A"/>
    <w:rsid w:val="0013721D"/>
    <w:rsid w:val="00156370"/>
    <w:rsid w:val="00166783"/>
    <w:rsid w:val="00167D55"/>
    <w:rsid w:val="001905C1"/>
    <w:rsid w:val="001A0BB8"/>
    <w:rsid w:val="001B69AF"/>
    <w:rsid w:val="001C60D6"/>
    <w:rsid w:val="001C6C8E"/>
    <w:rsid w:val="001D1B65"/>
    <w:rsid w:val="001D72DE"/>
    <w:rsid w:val="001F4F98"/>
    <w:rsid w:val="002017D5"/>
    <w:rsid w:val="00203AA0"/>
    <w:rsid w:val="0020716B"/>
    <w:rsid w:val="002077DB"/>
    <w:rsid w:val="00212A23"/>
    <w:rsid w:val="00246A04"/>
    <w:rsid w:val="0025234D"/>
    <w:rsid w:val="0025524C"/>
    <w:rsid w:val="00256562"/>
    <w:rsid w:val="00265070"/>
    <w:rsid w:val="00287077"/>
    <w:rsid w:val="002C73B9"/>
    <w:rsid w:val="002E381B"/>
    <w:rsid w:val="002F1668"/>
    <w:rsid w:val="002F3325"/>
    <w:rsid w:val="002F6A3A"/>
    <w:rsid w:val="00375347"/>
    <w:rsid w:val="003765DD"/>
    <w:rsid w:val="0038510E"/>
    <w:rsid w:val="00387F53"/>
    <w:rsid w:val="00396FB3"/>
    <w:rsid w:val="003A6C61"/>
    <w:rsid w:val="003D3015"/>
    <w:rsid w:val="003E4EB8"/>
    <w:rsid w:val="003F2009"/>
    <w:rsid w:val="0040071F"/>
    <w:rsid w:val="00407077"/>
    <w:rsid w:val="0041402F"/>
    <w:rsid w:val="0041413D"/>
    <w:rsid w:val="00416BBD"/>
    <w:rsid w:val="00416BEC"/>
    <w:rsid w:val="0042260C"/>
    <w:rsid w:val="004311A4"/>
    <w:rsid w:val="004657A3"/>
    <w:rsid w:val="0048122C"/>
    <w:rsid w:val="00497CFB"/>
    <w:rsid w:val="004B27C7"/>
    <w:rsid w:val="004C71AC"/>
    <w:rsid w:val="004F7681"/>
    <w:rsid w:val="00503CDE"/>
    <w:rsid w:val="00504916"/>
    <w:rsid w:val="00506C2B"/>
    <w:rsid w:val="005367EE"/>
    <w:rsid w:val="005439B2"/>
    <w:rsid w:val="0056532A"/>
    <w:rsid w:val="0057476E"/>
    <w:rsid w:val="00583269"/>
    <w:rsid w:val="005A05F1"/>
    <w:rsid w:val="005B1881"/>
    <w:rsid w:val="005E5F13"/>
    <w:rsid w:val="005E625A"/>
    <w:rsid w:val="005F11C2"/>
    <w:rsid w:val="00621445"/>
    <w:rsid w:val="00631B74"/>
    <w:rsid w:val="0065378A"/>
    <w:rsid w:val="006656C5"/>
    <w:rsid w:val="00671DEC"/>
    <w:rsid w:val="00686021"/>
    <w:rsid w:val="006B0134"/>
    <w:rsid w:val="006B56EB"/>
    <w:rsid w:val="006D7BF5"/>
    <w:rsid w:val="006F56A9"/>
    <w:rsid w:val="006F683F"/>
    <w:rsid w:val="0070469A"/>
    <w:rsid w:val="00722471"/>
    <w:rsid w:val="00733142"/>
    <w:rsid w:val="00781F03"/>
    <w:rsid w:val="00794456"/>
    <w:rsid w:val="007B277A"/>
    <w:rsid w:val="007B317D"/>
    <w:rsid w:val="007C2DCD"/>
    <w:rsid w:val="007C309C"/>
    <w:rsid w:val="007D076E"/>
    <w:rsid w:val="007D2890"/>
    <w:rsid w:val="007F4D84"/>
    <w:rsid w:val="007F7E4F"/>
    <w:rsid w:val="00805C3A"/>
    <w:rsid w:val="00812F94"/>
    <w:rsid w:val="00817ABB"/>
    <w:rsid w:val="008619F7"/>
    <w:rsid w:val="00873899"/>
    <w:rsid w:val="00875166"/>
    <w:rsid w:val="0088465C"/>
    <w:rsid w:val="008914CD"/>
    <w:rsid w:val="008A18E5"/>
    <w:rsid w:val="008A1CC3"/>
    <w:rsid w:val="008C791A"/>
    <w:rsid w:val="008D5089"/>
    <w:rsid w:val="008E36E1"/>
    <w:rsid w:val="0091442B"/>
    <w:rsid w:val="009331B0"/>
    <w:rsid w:val="00957F16"/>
    <w:rsid w:val="00962D0C"/>
    <w:rsid w:val="009A6FB7"/>
    <w:rsid w:val="009B15C6"/>
    <w:rsid w:val="00A02EB4"/>
    <w:rsid w:val="00A31BC1"/>
    <w:rsid w:val="00A84891"/>
    <w:rsid w:val="00AD1679"/>
    <w:rsid w:val="00AD57FF"/>
    <w:rsid w:val="00AF7095"/>
    <w:rsid w:val="00B00FFD"/>
    <w:rsid w:val="00B0605C"/>
    <w:rsid w:val="00B11E1B"/>
    <w:rsid w:val="00B432C1"/>
    <w:rsid w:val="00B87D25"/>
    <w:rsid w:val="00BB4E9F"/>
    <w:rsid w:val="00BC3C46"/>
    <w:rsid w:val="00BC3D82"/>
    <w:rsid w:val="00BE1492"/>
    <w:rsid w:val="00C04E7F"/>
    <w:rsid w:val="00C55D22"/>
    <w:rsid w:val="00C67D85"/>
    <w:rsid w:val="00C74D79"/>
    <w:rsid w:val="00C91175"/>
    <w:rsid w:val="00CB39A6"/>
    <w:rsid w:val="00CC1C77"/>
    <w:rsid w:val="00CC6954"/>
    <w:rsid w:val="00CD7CA0"/>
    <w:rsid w:val="00CE323C"/>
    <w:rsid w:val="00CF0A12"/>
    <w:rsid w:val="00CF1A2D"/>
    <w:rsid w:val="00CF699C"/>
    <w:rsid w:val="00D12CC3"/>
    <w:rsid w:val="00D3724A"/>
    <w:rsid w:val="00D411F7"/>
    <w:rsid w:val="00D428EA"/>
    <w:rsid w:val="00D46CA4"/>
    <w:rsid w:val="00D657E5"/>
    <w:rsid w:val="00DE0D81"/>
    <w:rsid w:val="00DF5415"/>
    <w:rsid w:val="00E42CFC"/>
    <w:rsid w:val="00E52ED3"/>
    <w:rsid w:val="00E74256"/>
    <w:rsid w:val="00E850EA"/>
    <w:rsid w:val="00E929D9"/>
    <w:rsid w:val="00E95191"/>
    <w:rsid w:val="00EE254D"/>
    <w:rsid w:val="00EE3CA6"/>
    <w:rsid w:val="00F0421C"/>
    <w:rsid w:val="00F043BA"/>
    <w:rsid w:val="00F248B7"/>
    <w:rsid w:val="00F40613"/>
    <w:rsid w:val="00F40738"/>
    <w:rsid w:val="00F55AD4"/>
    <w:rsid w:val="00F86A84"/>
    <w:rsid w:val="00FB40D7"/>
    <w:rsid w:val="00FC536F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354A6-294F-4A9B-9F1C-37FF7A0A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D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04"/>
  </w:style>
  <w:style w:type="paragraph" w:styleId="Footer">
    <w:name w:val="footer"/>
    <w:basedOn w:val="Normal"/>
    <w:link w:val="FooterChar"/>
    <w:uiPriority w:val="99"/>
    <w:unhideWhenUsed/>
    <w:rsid w:val="0024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cmh.ahrq.gov/citation/healthcare-payment-reform-and-behavioral-health-safety-net-whats-horizon-commu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238</cp:revision>
  <dcterms:created xsi:type="dcterms:W3CDTF">2021-04-18T08:20:00Z</dcterms:created>
  <dcterms:modified xsi:type="dcterms:W3CDTF">2021-04-18T12:53:00Z</dcterms:modified>
</cp:coreProperties>
</file>