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85D" w:rsidRDefault="005B685D" w:rsidP="005B685D">
      <w:pPr>
        <w:spacing w:before="100" w:beforeAutospacing="1" w:after="100" w:afterAutospacing="1" w:line="240" w:lineRule="auto"/>
        <w:ind w:left="1200"/>
        <w:outlineLvl w:val="1"/>
        <w:rPr>
          <w:rFonts w:ascii="Verdana" w:eastAsia="Times New Roman" w:hAnsi="Verdana"/>
          <w:b/>
          <w:bCs/>
          <w:color w:val="A6192E"/>
          <w:sz w:val="36"/>
          <w:szCs w:val="36"/>
        </w:rPr>
      </w:pPr>
      <w:r w:rsidRPr="005B685D">
        <w:rPr>
          <w:rFonts w:ascii="Verdana" w:eastAsia="Times New Roman" w:hAnsi="Verdana"/>
          <w:b/>
          <w:bCs/>
          <w:color w:val="A6192E"/>
          <w:sz w:val="36"/>
          <w:szCs w:val="36"/>
        </w:rPr>
        <w:t>Generalist Practice with Organizations and Communities</w:t>
      </w:r>
    </w:p>
    <w:p w:rsidR="005B685D" w:rsidRDefault="005B685D" w:rsidP="005B685D">
      <w:pPr>
        <w:spacing w:before="100" w:beforeAutospacing="1" w:after="100" w:afterAutospacing="1" w:line="240" w:lineRule="auto"/>
        <w:ind w:left="1200"/>
        <w:outlineLvl w:val="1"/>
        <w:rPr>
          <w:rFonts w:ascii="Verdana" w:eastAsia="Times New Roman" w:hAnsi="Verdana"/>
          <w:b/>
          <w:bCs/>
          <w:color w:val="A6192E"/>
          <w:sz w:val="36"/>
          <w:szCs w:val="36"/>
        </w:rPr>
      </w:pPr>
      <w:r w:rsidRPr="005B685D">
        <w:rPr>
          <w:rFonts w:ascii="Verdana" w:eastAsia="Times New Roman" w:hAnsi="Verdana"/>
          <w:b/>
          <w:bCs/>
          <w:color w:val="A6192E"/>
          <w:sz w:val="36"/>
          <w:szCs w:val="36"/>
        </w:rPr>
        <w:t>4.3 Discussion: Organizing Around Diversity</w:t>
      </w:r>
    </w:p>
    <w:p w:rsidR="005B685D" w:rsidRDefault="005B685D" w:rsidP="005B685D">
      <w:pPr>
        <w:spacing w:before="100" w:beforeAutospacing="1" w:after="100" w:afterAutospacing="1" w:line="240" w:lineRule="auto"/>
        <w:ind w:left="1200"/>
        <w:outlineLvl w:val="1"/>
        <w:rPr>
          <w:rFonts w:ascii="Verdana" w:eastAsia="Times New Roman" w:hAnsi="Verdana"/>
          <w:b/>
          <w:bCs/>
          <w:color w:val="A6192E"/>
          <w:sz w:val="36"/>
          <w:szCs w:val="36"/>
        </w:rPr>
      </w:pPr>
      <w:bookmarkStart w:id="0" w:name="_GoBack"/>
      <w:bookmarkEnd w:id="0"/>
    </w:p>
    <w:p w:rsidR="005B685D" w:rsidRPr="005B685D" w:rsidRDefault="005B685D" w:rsidP="005B685D">
      <w:pPr>
        <w:spacing w:before="100" w:beforeAutospacing="1" w:after="100" w:afterAutospacing="1" w:line="240" w:lineRule="auto"/>
        <w:ind w:left="1200"/>
        <w:outlineLvl w:val="1"/>
        <w:rPr>
          <w:rFonts w:ascii="Verdana" w:eastAsia="Times New Roman" w:hAnsi="Verdana"/>
          <w:b/>
          <w:bCs/>
          <w:color w:val="A6192E"/>
          <w:sz w:val="36"/>
          <w:szCs w:val="36"/>
        </w:rPr>
      </w:pPr>
      <w:r w:rsidRPr="005B685D">
        <w:rPr>
          <w:rFonts w:ascii="Verdana" w:eastAsia="Times New Roman" w:hAnsi="Verdana"/>
          <w:b/>
          <w:bCs/>
          <w:color w:val="A6192E"/>
          <w:sz w:val="36"/>
          <w:szCs w:val="36"/>
        </w:rPr>
        <w:t>Getting Started</w:t>
      </w:r>
    </w:p>
    <w:p w:rsidR="005B685D" w:rsidRPr="005B685D" w:rsidRDefault="005B685D" w:rsidP="005B685D">
      <w:pPr>
        <w:spacing w:before="100" w:beforeAutospacing="1" w:after="100" w:afterAutospacing="1" w:line="240" w:lineRule="auto"/>
        <w:ind w:left="1200"/>
        <w:rPr>
          <w:rFonts w:ascii="Verdana" w:eastAsia="Times New Roman" w:hAnsi="Verdana"/>
          <w:color w:val="353535"/>
        </w:rPr>
      </w:pPr>
      <w:r w:rsidRPr="005B685D">
        <w:rPr>
          <w:rFonts w:ascii="Verdana" w:eastAsia="Times New Roman" w:hAnsi="Verdana"/>
          <w:noProof/>
          <w:color w:val="353535"/>
        </w:rPr>
        <mc:AlternateContent>
          <mc:Choice Requires="wps">
            <w:drawing>
              <wp:inline distT="0" distB="0" distL="0" distR="0" wp14:anchorId="3221FD12" wp14:editId="698AFB81">
                <wp:extent cx="304800" cy="304800"/>
                <wp:effectExtent l="0" t="0" r="0" b="0"/>
                <wp:docPr id="10" name="AutoShape 57" descr="6.4 Intro_1253235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A21E0" id="AutoShape 57" o:spid="_x0000_s1026" alt="6.4 Intro_1253235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lwsoRxwIAANU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5B685D">
        <w:rPr>
          <w:rFonts w:ascii="Verdana" w:eastAsia="Times New Roman" w:hAnsi="Verdana"/>
          <w:color w:val="353535"/>
        </w:rPr>
        <w:t>Diversities including race, ethnicity, disability, immigration and refugee issues, gender, sexual orientation, poverty, and other factors provide the macro social worker great opportunity for helping communities or organizations gain greater access to justice and resources. Community or organizational change efforts can help diverse communities and populations at risk assert control over their lives.</w:t>
      </w:r>
    </w:p>
    <w:p w:rsidR="005B685D" w:rsidRPr="005B685D" w:rsidRDefault="005B685D" w:rsidP="005B685D">
      <w:pPr>
        <w:spacing w:before="100" w:beforeAutospacing="1" w:after="100" w:afterAutospacing="1" w:line="240" w:lineRule="auto"/>
        <w:ind w:left="1200"/>
        <w:rPr>
          <w:rFonts w:ascii="Verdana" w:eastAsia="Times New Roman" w:hAnsi="Verdana"/>
          <w:color w:val="353535"/>
        </w:rPr>
      </w:pPr>
      <w:r w:rsidRPr="005B685D">
        <w:rPr>
          <w:rFonts w:ascii="Verdana" w:eastAsia="Times New Roman" w:hAnsi="Verdana"/>
          <w:color w:val="353535"/>
        </w:rPr>
        <w:t>There may be contemporary social justice issues related to racial, social, and economic justice in your community or organization. These can present various future opportunities for community or social action. In this activity, you will discuss your reaction to several contemporary community or organizational social welfare issues. Additionally, you will reflect on how these social justice issues are relevant given what you have learned about demographics and diversities in your community.</w:t>
      </w:r>
    </w:p>
    <w:p w:rsidR="005B685D" w:rsidRPr="005B685D" w:rsidRDefault="005B685D" w:rsidP="005B685D">
      <w:pPr>
        <w:spacing w:before="100" w:beforeAutospacing="1" w:after="100" w:afterAutospacing="1" w:line="240" w:lineRule="auto"/>
        <w:ind w:left="1200"/>
        <w:rPr>
          <w:rFonts w:ascii="Verdana" w:eastAsia="Times New Roman" w:hAnsi="Verdana"/>
          <w:color w:val="353535"/>
        </w:rPr>
      </w:pPr>
      <w:r w:rsidRPr="005B685D">
        <w:rPr>
          <w:rFonts w:ascii="Verdana" w:eastAsia="Times New Roman" w:hAnsi="Verdana"/>
          <w:b/>
          <w:bCs/>
          <w:color w:val="353535"/>
        </w:rPr>
        <w:t>Upon successful completion of this discussion, you will be able to:</w:t>
      </w:r>
    </w:p>
    <w:p w:rsidR="005B685D" w:rsidRPr="005B685D" w:rsidRDefault="005B685D" w:rsidP="005B685D">
      <w:pPr>
        <w:numPr>
          <w:ilvl w:val="0"/>
          <w:numId w:val="1"/>
        </w:numPr>
        <w:spacing w:before="100" w:beforeAutospacing="1" w:after="100" w:afterAutospacing="1" w:line="240" w:lineRule="auto"/>
        <w:ind w:left="1200"/>
        <w:rPr>
          <w:rFonts w:ascii="Verdana" w:eastAsia="Times New Roman" w:hAnsi="Verdana"/>
          <w:color w:val="353535"/>
        </w:rPr>
      </w:pPr>
      <w:r w:rsidRPr="005B685D">
        <w:rPr>
          <w:rFonts w:ascii="Verdana" w:eastAsia="Times New Roman" w:hAnsi="Verdana"/>
          <w:color w:val="353535"/>
        </w:rPr>
        <w:t>Explore the impact diversity and difference have in working with communities and organizations. (PO 2)</w:t>
      </w:r>
    </w:p>
    <w:p w:rsidR="005B685D" w:rsidRPr="005B685D" w:rsidRDefault="005B685D" w:rsidP="005B685D">
      <w:pPr>
        <w:numPr>
          <w:ilvl w:val="0"/>
          <w:numId w:val="1"/>
        </w:numPr>
        <w:spacing w:before="100" w:beforeAutospacing="1" w:after="100" w:afterAutospacing="1" w:line="240" w:lineRule="auto"/>
        <w:ind w:left="1200"/>
        <w:rPr>
          <w:rFonts w:ascii="Verdana" w:eastAsia="Times New Roman" w:hAnsi="Verdana"/>
          <w:color w:val="353535"/>
        </w:rPr>
      </w:pPr>
      <w:r w:rsidRPr="005B685D">
        <w:rPr>
          <w:rFonts w:ascii="Verdana" w:eastAsia="Times New Roman" w:hAnsi="Verdana"/>
          <w:color w:val="353535"/>
        </w:rPr>
        <w:t>Explore injustice and oppression within the social environment at local and global levels. (PO 3)</w:t>
      </w:r>
    </w:p>
    <w:p w:rsidR="005B685D" w:rsidRPr="005B685D" w:rsidRDefault="005B685D" w:rsidP="005B685D">
      <w:pPr>
        <w:spacing w:before="120" w:after="120" w:line="240" w:lineRule="auto"/>
        <w:rPr>
          <w:rFonts w:ascii="Verdana" w:eastAsia="Times New Roman" w:hAnsi="Verdana"/>
        </w:rPr>
      </w:pPr>
      <w:r w:rsidRPr="005B685D">
        <w:rPr>
          <w:rFonts w:ascii="Verdana" w:eastAsia="Times New Roman" w:hAnsi="Verdana"/>
        </w:rPr>
        <w:pict>
          <v:rect id="_x0000_i1025" style="width:0;height:1.5pt" o:hralign="center" o:hrstd="t" o:hr="t" fillcolor="#a0a0a0" stroked="f"/>
        </w:pict>
      </w:r>
    </w:p>
    <w:p w:rsidR="005B685D" w:rsidRPr="005B685D" w:rsidRDefault="005B685D" w:rsidP="005B685D">
      <w:pPr>
        <w:spacing w:before="120" w:after="120" w:line="240" w:lineRule="auto"/>
        <w:rPr>
          <w:rFonts w:ascii="Verdana" w:eastAsia="Times New Roman" w:hAnsi="Verdana"/>
        </w:rPr>
      </w:pPr>
      <w:r w:rsidRPr="005B685D">
        <w:rPr>
          <w:rFonts w:ascii="Verdana" w:eastAsia="Times New Roman" w:hAnsi="Verdana"/>
          <w:noProof/>
        </w:rPr>
        <w:lastRenderedPageBreak/>
        <w:drawing>
          <wp:inline distT="0" distB="0" distL="0" distR="0" wp14:anchorId="71C62CAA" wp14:editId="23C57E77">
            <wp:extent cx="1905000" cy="1905000"/>
            <wp:effectExtent l="0" t="0" r="0" b="0"/>
            <wp:docPr id="59" name="Picture 59"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B685D" w:rsidRPr="005B685D" w:rsidRDefault="005B685D" w:rsidP="005B685D">
      <w:pPr>
        <w:spacing w:before="100" w:beforeAutospacing="1" w:after="100" w:afterAutospacing="1" w:line="240" w:lineRule="auto"/>
        <w:ind w:left="1200"/>
        <w:outlineLvl w:val="1"/>
        <w:rPr>
          <w:rFonts w:ascii="Verdana" w:eastAsia="Times New Roman" w:hAnsi="Verdana"/>
          <w:b/>
          <w:bCs/>
          <w:color w:val="A6192E"/>
          <w:sz w:val="36"/>
          <w:szCs w:val="36"/>
        </w:rPr>
      </w:pPr>
      <w:r w:rsidRPr="005B685D">
        <w:rPr>
          <w:rFonts w:ascii="Verdana" w:eastAsia="Times New Roman" w:hAnsi="Verdana"/>
          <w:b/>
          <w:bCs/>
          <w:color w:val="A6192E"/>
          <w:sz w:val="36"/>
          <w:szCs w:val="36"/>
        </w:rPr>
        <w:t>Resources</w:t>
      </w:r>
    </w:p>
    <w:p w:rsidR="005B685D" w:rsidRPr="005B685D" w:rsidRDefault="005B685D" w:rsidP="005B685D">
      <w:pPr>
        <w:numPr>
          <w:ilvl w:val="0"/>
          <w:numId w:val="2"/>
        </w:numPr>
        <w:spacing w:before="100" w:beforeAutospacing="1" w:after="100" w:afterAutospacing="1" w:line="240" w:lineRule="auto"/>
        <w:ind w:left="1200"/>
        <w:rPr>
          <w:rFonts w:ascii="Verdana" w:eastAsia="Times New Roman" w:hAnsi="Verdana"/>
          <w:color w:val="353535"/>
        </w:rPr>
      </w:pPr>
      <w:r w:rsidRPr="005B685D">
        <w:rPr>
          <w:rFonts w:ascii="Verdana" w:eastAsia="Times New Roman" w:hAnsi="Verdana"/>
          <w:color w:val="353535"/>
        </w:rPr>
        <w:t>Video: TEDx: Problem-Oriented Policing: Where Social Work Meets Law Enforcement</w:t>
      </w:r>
    </w:p>
    <w:p w:rsidR="005B685D" w:rsidRPr="005B685D" w:rsidRDefault="005B685D" w:rsidP="005B685D">
      <w:pPr>
        <w:numPr>
          <w:ilvl w:val="0"/>
          <w:numId w:val="2"/>
        </w:numPr>
        <w:spacing w:before="100" w:beforeAutospacing="1" w:after="100" w:afterAutospacing="1" w:line="240" w:lineRule="auto"/>
        <w:ind w:left="1200"/>
        <w:rPr>
          <w:rFonts w:ascii="Verdana" w:eastAsia="Times New Roman" w:hAnsi="Verdana"/>
          <w:color w:val="353535"/>
        </w:rPr>
      </w:pPr>
      <w:r w:rsidRPr="005B685D">
        <w:rPr>
          <w:rFonts w:ascii="Verdana" w:eastAsia="Times New Roman" w:hAnsi="Verdana"/>
          <w:color w:val="353535"/>
        </w:rPr>
        <w:t>Article: Black Lives Matter: Differential Mortality and the Racial Composition of the U.S. Electorate, 1970–2004</w:t>
      </w:r>
    </w:p>
    <w:p w:rsidR="005B685D" w:rsidRPr="005B685D" w:rsidRDefault="005B685D" w:rsidP="005B685D">
      <w:pPr>
        <w:spacing w:before="120" w:after="120" w:line="240" w:lineRule="auto"/>
        <w:rPr>
          <w:rFonts w:eastAsia="Times New Roman"/>
        </w:rPr>
      </w:pPr>
      <w:r w:rsidRPr="005B685D">
        <w:rPr>
          <w:rFonts w:eastAsia="Times New Roman"/>
        </w:rPr>
        <w:pict>
          <v:rect id="_x0000_i1026" style="width:0;height:1.5pt" o:hralign="center" o:hrstd="t" o:hr="t" fillcolor="#a0a0a0" stroked="f"/>
        </w:pict>
      </w:r>
    </w:p>
    <w:p w:rsidR="005B685D" w:rsidRPr="005B685D" w:rsidRDefault="005B685D" w:rsidP="005B685D">
      <w:pPr>
        <w:spacing w:before="120" w:after="120" w:line="240" w:lineRule="auto"/>
        <w:rPr>
          <w:rFonts w:ascii="Verdana" w:eastAsia="Times New Roman" w:hAnsi="Verdana"/>
        </w:rPr>
      </w:pPr>
      <w:r w:rsidRPr="005B685D">
        <w:rPr>
          <w:rFonts w:ascii="Verdana" w:eastAsia="Times New Roman" w:hAnsi="Verdana"/>
          <w:noProof/>
        </w:rPr>
        <w:drawing>
          <wp:inline distT="0" distB="0" distL="0" distR="0" wp14:anchorId="2242320E" wp14:editId="1222E8C0">
            <wp:extent cx="1905000" cy="1905000"/>
            <wp:effectExtent l="0" t="0" r="0" b="0"/>
            <wp:docPr id="61" name="Picture 61"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B685D" w:rsidRPr="005B685D" w:rsidRDefault="005B685D" w:rsidP="005B685D">
      <w:pPr>
        <w:spacing w:before="100" w:beforeAutospacing="1" w:after="100" w:afterAutospacing="1" w:line="240" w:lineRule="auto"/>
        <w:ind w:left="1200"/>
        <w:outlineLvl w:val="1"/>
        <w:rPr>
          <w:rFonts w:ascii="Verdana" w:eastAsia="Times New Roman" w:hAnsi="Verdana"/>
          <w:b/>
          <w:bCs/>
          <w:color w:val="A6192E"/>
          <w:sz w:val="36"/>
          <w:szCs w:val="36"/>
        </w:rPr>
      </w:pPr>
      <w:r w:rsidRPr="005B685D">
        <w:rPr>
          <w:rFonts w:ascii="Verdana" w:eastAsia="Times New Roman" w:hAnsi="Verdana"/>
          <w:b/>
          <w:bCs/>
          <w:color w:val="A6192E"/>
          <w:sz w:val="36"/>
          <w:szCs w:val="36"/>
        </w:rPr>
        <w:t>Background Information</w:t>
      </w:r>
    </w:p>
    <w:p w:rsidR="005B685D" w:rsidRPr="005B685D" w:rsidRDefault="005B685D" w:rsidP="005B685D">
      <w:pPr>
        <w:spacing w:before="100" w:beforeAutospacing="1" w:after="100" w:afterAutospacing="1" w:line="240" w:lineRule="auto"/>
        <w:ind w:left="1200"/>
        <w:rPr>
          <w:rFonts w:ascii="Verdana" w:eastAsia="Times New Roman" w:hAnsi="Verdana"/>
          <w:color w:val="353535"/>
        </w:rPr>
      </w:pPr>
      <w:r w:rsidRPr="005B685D">
        <w:rPr>
          <w:rFonts w:ascii="Verdana" w:eastAsia="Times New Roman" w:hAnsi="Verdana"/>
          <w:color w:val="353535"/>
        </w:rPr>
        <w:t xml:space="preserve">The TEDx video and the Rodriguez and colleagues article highlight how structural and institutional racism affect which at-risk populations can fully engage in community or organizational change efforts, as well as in broader political change. The social stratification theoretical framework presented by Rodriguez and colleagues notes that because at-risk people often belong to different socioeconomic groups, live in different physical spaces, and are exposed to various psychological and physiological stressors, they often can’t fully engage in community or </w:t>
      </w:r>
      <w:r w:rsidRPr="005B685D">
        <w:rPr>
          <w:rFonts w:ascii="Verdana" w:eastAsia="Times New Roman" w:hAnsi="Verdana"/>
          <w:color w:val="353535"/>
        </w:rPr>
        <w:lastRenderedPageBreak/>
        <w:t>organizational change efforts. Macro social workers must consider these barriers.</w:t>
      </w:r>
    </w:p>
    <w:p w:rsidR="005B685D" w:rsidRPr="005B685D" w:rsidRDefault="005B685D" w:rsidP="005B685D">
      <w:pPr>
        <w:spacing w:before="120" w:after="120" w:line="240" w:lineRule="auto"/>
        <w:rPr>
          <w:rFonts w:eastAsia="Times New Roman"/>
        </w:rPr>
      </w:pPr>
      <w:r w:rsidRPr="005B685D">
        <w:rPr>
          <w:rFonts w:eastAsia="Times New Roman"/>
        </w:rPr>
        <w:pict>
          <v:rect id="_x0000_i1027" style="width:0;height:1.5pt" o:hralign="center" o:hrstd="t" o:hr="t" fillcolor="#a0a0a0" stroked="f"/>
        </w:pict>
      </w:r>
    </w:p>
    <w:p w:rsidR="005B685D" w:rsidRPr="005B685D" w:rsidRDefault="005B685D" w:rsidP="005B685D">
      <w:pPr>
        <w:spacing w:before="120" w:after="120" w:line="240" w:lineRule="auto"/>
        <w:rPr>
          <w:rFonts w:ascii="Verdana" w:eastAsia="Times New Roman" w:hAnsi="Verdana"/>
        </w:rPr>
      </w:pPr>
      <w:r w:rsidRPr="005B685D">
        <w:rPr>
          <w:rFonts w:ascii="Verdana" w:eastAsia="Times New Roman" w:hAnsi="Verdana"/>
          <w:noProof/>
        </w:rPr>
        <w:drawing>
          <wp:inline distT="0" distB="0" distL="0" distR="0" wp14:anchorId="360F5414" wp14:editId="00BD909D">
            <wp:extent cx="1905000" cy="1905000"/>
            <wp:effectExtent l="0" t="0" r="0" b="0"/>
            <wp:docPr id="63" name="Picture 63"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B685D" w:rsidRPr="005B685D" w:rsidRDefault="005B685D" w:rsidP="005B685D">
      <w:pPr>
        <w:spacing w:before="100" w:beforeAutospacing="1" w:after="100" w:afterAutospacing="1" w:line="240" w:lineRule="auto"/>
        <w:ind w:left="1200"/>
        <w:outlineLvl w:val="1"/>
        <w:rPr>
          <w:rFonts w:ascii="Verdana" w:eastAsia="Times New Roman" w:hAnsi="Verdana"/>
          <w:b/>
          <w:bCs/>
          <w:color w:val="A6192E"/>
          <w:sz w:val="36"/>
          <w:szCs w:val="36"/>
        </w:rPr>
      </w:pPr>
      <w:r w:rsidRPr="005B685D">
        <w:rPr>
          <w:rFonts w:ascii="Verdana" w:eastAsia="Times New Roman" w:hAnsi="Verdana"/>
          <w:b/>
          <w:bCs/>
          <w:color w:val="A6192E"/>
          <w:sz w:val="36"/>
          <w:szCs w:val="36"/>
        </w:rPr>
        <w:t>Instructions</w:t>
      </w:r>
    </w:p>
    <w:p w:rsidR="005B685D" w:rsidRDefault="005B685D" w:rsidP="005B685D">
      <w:pPr>
        <w:numPr>
          <w:ilvl w:val="0"/>
          <w:numId w:val="3"/>
        </w:numPr>
        <w:spacing w:before="100" w:beforeAutospacing="1" w:after="100" w:afterAutospacing="1" w:line="240" w:lineRule="auto"/>
        <w:ind w:left="1200" w:firstLine="0"/>
        <w:rPr>
          <w:rFonts w:ascii="Verdana" w:eastAsia="Times New Roman" w:hAnsi="Verdana"/>
          <w:color w:val="353535"/>
        </w:rPr>
      </w:pPr>
      <w:r w:rsidRPr="005B685D">
        <w:rPr>
          <w:rFonts w:ascii="Verdana" w:eastAsia="Times New Roman" w:hAnsi="Verdana"/>
          <w:color w:val="353535"/>
        </w:rPr>
        <w:t>Review the rubric to make sure you understand the criteria for earning your grade.</w:t>
      </w:r>
    </w:p>
    <w:p w:rsidR="005B685D" w:rsidRPr="005B685D" w:rsidRDefault="005B685D" w:rsidP="005B685D">
      <w:pPr>
        <w:spacing w:before="100" w:beforeAutospacing="1" w:after="100" w:afterAutospacing="1" w:line="240" w:lineRule="auto"/>
        <w:ind w:left="1200"/>
        <w:rPr>
          <w:rFonts w:ascii="Verdana" w:eastAsia="Times New Roman" w:hAnsi="Verdana"/>
          <w:color w:val="353535"/>
        </w:rPr>
      </w:pPr>
    </w:p>
    <w:p w:rsidR="005B685D" w:rsidRPr="005B685D" w:rsidRDefault="005B685D" w:rsidP="005B685D">
      <w:pPr>
        <w:numPr>
          <w:ilvl w:val="0"/>
          <w:numId w:val="3"/>
        </w:numPr>
        <w:spacing w:beforeAutospacing="1" w:after="0" w:afterAutospacing="1" w:line="240" w:lineRule="auto"/>
        <w:ind w:left="1200" w:firstLine="0"/>
        <w:rPr>
          <w:rFonts w:ascii="Verdana" w:eastAsia="Times New Roman" w:hAnsi="Verdana"/>
          <w:color w:val="353535"/>
        </w:rPr>
      </w:pPr>
      <w:r w:rsidRPr="005B685D">
        <w:rPr>
          <w:rFonts w:ascii="Verdana" w:eastAsia="Times New Roman" w:hAnsi="Verdana"/>
          <w:color w:val="353535"/>
        </w:rPr>
        <w:t>Watch the video, “</w:t>
      </w:r>
      <w:hyperlink r:id="rId8" w:tgtFrame="_new" w:history="1">
        <w:r w:rsidRPr="005B685D">
          <w:rPr>
            <w:rFonts w:ascii="Verdana" w:eastAsia="Times New Roman" w:hAnsi="Verdana"/>
            <w:color w:val="0000FF"/>
            <w:u w:val="single"/>
          </w:rPr>
          <w:t>TEDx: Problem-Oriented Policing: Where Social Work Meets Law Enforcement</w:t>
        </w:r>
      </w:hyperlink>
      <w:r w:rsidRPr="005B685D">
        <w:rPr>
          <w:rFonts w:ascii="Verdana" w:eastAsia="Times New Roman" w:hAnsi="Verdana"/>
          <w:color w:val="353535"/>
        </w:rPr>
        <w:t>” and/or read the </w:t>
      </w:r>
      <w:hyperlink r:id="rId9" w:tgtFrame="_blank" w:history="1">
        <w:r w:rsidRPr="005B685D">
          <w:rPr>
            <w:rFonts w:ascii="Verdana" w:eastAsia="Times New Roman" w:hAnsi="Verdana"/>
            <w:b/>
            <w:bCs/>
            <w:color w:val="0000FF"/>
            <w:u w:val="single"/>
          </w:rPr>
          <w:t>Problem-Oriented Policing Transcript.pdf</w:t>
        </w:r>
      </w:hyperlink>
      <w:r w:rsidRPr="005B685D">
        <w:rPr>
          <w:rFonts w:ascii="Verdana" w:eastAsia="Times New Roman" w:hAnsi="Verdana"/>
          <w:color w:val="353535"/>
        </w:rPr>
        <w:t> file.</w:t>
      </w:r>
    </w:p>
    <w:p w:rsidR="005B685D" w:rsidRPr="005B685D" w:rsidRDefault="005B685D" w:rsidP="005B685D">
      <w:pPr>
        <w:spacing w:beforeAutospacing="1" w:after="0" w:afterAutospacing="1" w:line="240" w:lineRule="auto"/>
        <w:ind w:left="1200"/>
        <w:rPr>
          <w:rFonts w:ascii="Verdana" w:eastAsia="Times New Roman" w:hAnsi="Verdana"/>
          <w:color w:val="353535"/>
        </w:rPr>
      </w:pPr>
      <w:r w:rsidRPr="005B685D">
        <w:rPr>
          <w:rFonts w:ascii="Verdana" w:eastAsia="Times New Roman" w:hAnsi="Verdana"/>
          <w:noProof/>
          <w:color w:val="0000FF"/>
        </w:rPr>
        <mc:AlternateContent>
          <mc:Choice Requires="wps">
            <w:drawing>
              <wp:inline distT="0" distB="0" distL="0" distR="0" wp14:anchorId="0519547E" wp14:editId="2CD51215">
                <wp:extent cx="304800" cy="304800"/>
                <wp:effectExtent l="0" t="0" r="0" b="0"/>
                <wp:docPr id="9" name="AutoShape 64" descr="Thumbnail of Video – Click to Play">
                  <a:hlinkClick xmlns:a="http://schemas.openxmlformats.org/drawingml/2006/main" r:id="rId8" tgtFrame="&quot;_blank&quot;" tooltip="&quot;Video Thumbnail – Click to Play&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FB8110" id="AutoShape 64" o:spid="_x0000_s1026" alt="Thumbnail of Video – Click to Play" href="https://www.youtube.com/watch?v=wK8glFZuQw8" target="&quot;_blank&quot;" title="&quot;Video Thumbnail – Click to Play&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" o:button="t" filled="f" stroked="f">
                <v:fill o:detectmouseclick="t"/>
                <o:lock v:ext="edit" aspectratio="t"/>
                <w10:anchorlock/>
              </v:rect>
            </w:pict>
          </mc:Fallback>
        </mc:AlternateContent>
      </w:r>
    </w:p>
    <w:p w:rsidR="005B685D" w:rsidRDefault="005B685D" w:rsidP="005B685D">
      <w:pPr>
        <w:numPr>
          <w:ilvl w:val="0"/>
          <w:numId w:val="3"/>
        </w:numPr>
        <w:spacing w:beforeAutospacing="1" w:after="0" w:afterAutospacing="1" w:line="240" w:lineRule="auto"/>
        <w:ind w:left="1200" w:firstLine="0"/>
        <w:rPr>
          <w:rFonts w:ascii="Verdana" w:eastAsia="Times New Roman" w:hAnsi="Verdana"/>
          <w:color w:val="353535"/>
        </w:rPr>
      </w:pPr>
      <w:r w:rsidRPr="005B685D">
        <w:rPr>
          <w:rFonts w:ascii="Verdana" w:eastAsia="Times New Roman" w:hAnsi="Verdana"/>
          <w:color w:val="353535"/>
        </w:rPr>
        <w:t>Read the article, “</w:t>
      </w:r>
      <w:hyperlink r:id="rId10" w:tgtFrame="_blank" w:history="1">
        <w:r w:rsidRPr="005B685D">
          <w:rPr>
            <w:rFonts w:ascii="Verdana" w:eastAsia="Times New Roman" w:hAnsi="Verdana"/>
            <w:color w:val="0000FF"/>
            <w:u w:val="single"/>
          </w:rPr>
          <w:t>Black Lives Matter: Differential Mortality and the Racial Composition of the U.S. Electorate, 1970–2004</w:t>
        </w:r>
      </w:hyperlink>
      <w:r w:rsidRPr="005B685D">
        <w:rPr>
          <w:rFonts w:ascii="Verdana" w:eastAsia="Times New Roman" w:hAnsi="Verdana"/>
          <w:color w:val="353535"/>
        </w:rPr>
        <w:t>.”</w:t>
      </w:r>
    </w:p>
    <w:p w:rsidR="005B685D" w:rsidRPr="005B685D" w:rsidRDefault="005B685D" w:rsidP="005B685D">
      <w:pPr>
        <w:spacing w:beforeAutospacing="1" w:after="0" w:afterAutospacing="1" w:line="240" w:lineRule="auto"/>
        <w:ind w:left="1200"/>
        <w:rPr>
          <w:rFonts w:ascii="Verdana" w:eastAsia="Times New Roman" w:hAnsi="Verdana"/>
          <w:color w:val="353535"/>
        </w:rPr>
      </w:pPr>
    </w:p>
    <w:p w:rsidR="005B685D" w:rsidRDefault="005B685D" w:rsidP="005B685D">
      <w:pPr>
        <w:numPr>
          <w:ilvl w:val="0"/>
          <w:numId w:val="3"/>
        </w:numPr>
        <w:spacing w:before="100" w:beforeAutospacing="1" w:after="100" w:afterAutospacing="1" w:line="240" w:lineRule="auto"/>
        <w:ind w:left="1200" w:firstLine="0"/>
        <w:rPr>
          <w:rFonts w:ascii="Verdana" w:eastAsia="Times New Roman" w:hAnsi="Verdana"/>
          <w:color w:val="353535"/>
        </w:rPr>
      </w:pPr>
      <w:r w:rsidRPr="005B685D">
        <w:rPr>
          <w:rFonts w:ascii="Verdana" w:eastAsia="Times New Roman" w:hAnsi="Verdana"/>
          <w:color w:val="353535"/>
        </w:rPr>
        <w:t>Review the assessment criteria in the grading rubric below to understand the grading guidelines for this discussion.</w:t>
      </w:r>
    </w:p>
    <w:p w:rsidR="005B685D" w:rsidRDefault="005B685D" w:rsidP="005B685D">
      <w:pPr>
        <w:pStyle w:val="ListParagraph"/>
        <w:rPr>
          <w:rFonts w:ascii="Verdana" w:eastAsia="Times New Roman" w:hAnsi="Verdana"/>
          <w:color w:val="353535"/>
        </w:rPr>
      </w:pPr>
    </w:p>
    <w:p w:rsidR="005B685D" w:rsidRPr="005B685D" w:rsidRDefault="005B685D" w:rsidP="005B685D">
      <w:pPr>
        <w:spacing w:before="100" w:beforeAutospacing="1" w:after="100" w:afterAutospacing="1" w:line="240" w:lineRule="auto"/>
        <w:rPr>
          <w:rFonts w:ascii="Verdana" w:eastAsia="Times New Roman" w:hAnsi="Verdana"/>
          <w:color w:val="353535"/>
        </w:rPr>
      </w:pPr>
    </w:p>
    <w:p w:rsidR="005B685D" w:rsidRPr="005B685D" w:rsidRDefault="005B685D" w:rsidP="005B685D">
      <w:pPr>
        <w:numPr>
          <w:ilvl w:val="0"/>
          <w:numId w:val="3"/>
        </w:numPr>
        <w:spacing w:before="100" w:beforeAutospacing="1" w:after="100" w:afterAutospacing="1" w:line="240" w:lineRule="auto"/>
        <w:ind w:left="1200" w:firstLine="0"/>
        <w:rPr>
          <w:rFonts w:ascii="Verdana" w:eastAsia="Times New Roman" w:hAnsi="Verdana"/>
          <w:color w:val="353535"/>
        </w:rPr>
      </w:pPr>
      <w:r w:rsidRPr="005B685D">
        <w:rPr>
          <w:rFonts w:ascii="Verdana" w:eastAsia="Times New Roman" w:hAnsi="Verdana"/>
          <w:color w:val="353535"/>
        </w:rPr>
        <w:t>Navigate to the threaded discussion and respond to the following prompts. Your initial post should be 200 to 300 words long.</w:t>
      </w:r>
    </w:p>
    <w:p w:rsidR="005B685D" w:rsidRDefault="005B685D" w:rsidP="005B685D">
      <w:pPr>
        <w:numPr>
          <w:ilvl w:val="1"/>
          <w:numId w:val="3"/>
        </w:numPr>
        <w:spacing w:before="100" w:beforeAutospacing="1" w:after="100" w:afterAutospacing="1" w:line="240" w:lineRule="auto"/>
        <w:ind w:left="1200"/>
        <w:rPr>
          <w:rFonts w:ascii="Verdana" w:eastAsia="Times New Roman" w:hAnsi="Verdana"/>
          <w:color w:val="353535"/>
        </w:rPr>
      </w:pPr>
      <w:r w:rsidRPr="005B685D">
        <w:rPr>
          <w:rFonts w:ascii="Verdana" w:eastAsia="Times New Roman" w:hAnsi="Verdana"/>
          <w:color w:val="353535"/>
        </w:rPr>
        <w:lastRenderedPageBreak/>
        <w:t>Based on what you observed in the assigned video and reading, what are your thoughts on the program discussed.</w:t>
      </w:r>
    </w:p>
    <w:p w:rsidR="005B685D" w:rsidRPr="005B685D" w:rsidRDefault="005B685D" w:rsidP="005B685D">
      <w:pPr>
        <w:spacing w:before="100" w:beforeAutospacing="1" w:after="100" w:afterAutospacing="1" w:line="240" w:lineRule="auto"/>
        <w:ind w:left="1200"/>
        <w:rPr>
          <w:rFonts w:ascii="Verdana" w:eastAsia="Times New Roman" w:hAnsi="Verdana"/>
          <w:color w:val="353535"/>
        </w:rPr>
      </w:pPr>
    </w:p>
    <w:p w:rsidR="005B685D" w:rsidRDefault="005B685D" w:rsidP="005B685D">
      <w:pPr>
        <w:numPr>
          <w:ilvl w:val="1"/>
          <w:numId w:val="3"/>
        </w:numPr>
        <w:spacing w:before="100" w:beforeAutospacing="1" w:after="100" w:afterAutospacing="1" w:line="240" w:lineRule="auto"/>
        <w:ind w:left="1200"/>
        <w:rPr>
          <w:rFonts w:ascii="Verdana" w:eastAsia="Times New Roman" w:hAnsi="Verdana"/>
          <w:color w:val="353535"/>
        </w:rPr>
      </w:pPr>
      <w:r w:rsidRPr="005B685D">
        <w:rPr>
          <w:rFonts w:ascii="Verdana" w:eastAsia="Times New Roman" w:hAnsi="Verdana"/>
          <w:color w:val="353535"/>
        </w:rPr>
        <w:t>The program in the video is “thinking outside the box”, what is an example of a social action opportunity in your community that would improve understanding among different (diverse) populations (not the intervention you have been writing about in your assignments)</w:t>
      </w:r>
    </w:p>
    <w:p w:rsidR="005B685D" w:rsidRPr="005B685D" w:rsidRDefault="005B685D" w:rsidP="005B685D">
      <w:pPr>
        <w:spacing w:before="100" w:beforeAutospacing="1" w:after="100" w:afterAutospacing="1" w:line="240" w:lineRule="auto"/>
        <w:rPr>
          <w:rFonts w:ascii="Verdana" w:eastAsia="Times New Roman" w:hAnsi="Verdana"/>
          <w:color w:val="353535"/>
        </w:rPr>
      </w:pPr>
    </w:p>
    <w:p w:rsidR="005B685D" w:rsidRDefault="005B685D" w:rsidP="005B685D">
      <w:pPr>
        <w:numPr>
          <w:ilvl w:val="1"/>
          <w:numId w:val="3"/>
        </w:numPr>
        <w:spacing w:before="100" w:beforeAutospacing="1" w:after="100" w:afterAutospacing="1" w:line="240" w:lineRule="auto"/>
        <w:ind w:left="1200"/>
        <w:rPr>
          <w:rFonts w:ascii="Verdana" w:eastAsia="Times New Roman" w:hAnsi="Verdana"/>
          <w:color w:val="353535"/>
        </w:rPr>
      </w:pPr>
      <w:r w:rsidRPr="005B685D">
        <w:rPr>
          <w:rFonts w:ascii="Verdana" w:eastAsia="Times New Roman" w:hAnsi="Verdana"/>
          <w:color w:val="353535"/>
        </w:rPr>
        <w:t>Reflect on how these social welfare issues affect your community.</w:t>
      </w:r>
    </w:p>
    <w:p w:rsidR="005B685D" w:rsidRPr="005B685D" w:rsidRDefault="005B685D" w:rsidP="005B685D">
      <w:pPr>
        <w:spacing w:before="100" w:beforeAutospacing="1" w:after="100" w:afterAutospacing="1" w:line="240" w:lineRule="auto"/>
        <w:ind w:left="1200"/>
        <w:rPr>
          <w:rFonts w:ascii="Verdana" w:eastAsia="Times New Roman" w:hAnsi="Verdana"/>
          <w:color w:val="353535"/>
        </w:rPr>
      </w:pPr>
    </w:p>
    <w:p w:rsidR="005B685D" w:rsidRDefault="005B685D" w:rsidP="005B685D">
      <w:pPr>
        <w:numPr>
          <w:ilvl w:val="0"/>
          <w:numId w:val="3"/>
        </w:numPr>
        <w:spacing w:before="100" w:beforeAutospacing="1" w:after="100" w:afterAutospacing="1" w:line="240" w:lineRule="auto"/>
        <w:ind w:left="1200" w:firstLine="0"/>
        <w:rPr>
          <w:rFonts w:ascii="Verdana" w:eastAsia="Times New Roman" w:hAnsi="Verdana"/>
          <w:color w:val="353535"/>
        </w:rPr>
      </w:pPr>
      <w:r w:rsidRPr="005B685D">
        <w:rPr>
          <w:rFonts w:ascii="Verdana" w:eastAsia="Times New Roman" w:hAnsi="Verdana"/>
          <w:color w:val="353535"/>
        </w:rPr>
        <w:t>Your initial post is due by the fourth day of the workshop.</w:t>
      </w:r>
    </w:p>
    <w:p w:rsidR="005B685D" w:rsidRDefault="005B685D" w:rsidP="005B685D">
      <w:pPr>
        <w:spacing w:before="100" w:beforeAutospacing="1" w:after="100" w:afterAutospacing="1" w:line="240" w:lineRule="auto"/>
        <w:ind w:left="1200"/>
        <w:rPr>
          <w:rFonts w:ascii="Verdana" w:eastAsia="Times New Roman" w:hAnsi="Verdana"/>
          <w:color w:val="353535"/>
        </w:rPr>
      </w:pPr>
    </w:p>
    <w:p w:rsidR="005B685D" w:rsidRPr="005B685D" w:rsidRDefault="005B685D" w:rsidP="005B685D">
      <w:pPr>
        <w:spacing w:before="100" w:beforeAutospacing="1" w:after="100" w:afterAutospacing="1" w:line="240" w:lineRule="auto"/>
        <w:ind w:left="1200"/>
        <w:rPr>
          <w:rFonts w:ascii="Verdana" w:eastAsia="Times New Roman" w:hAnsi="Verdana"/>
          <w:b/>
          <w:color w:val="353535"/>
        </w:rPr>
      </w:pPr>
      <w:r w:rsidRPr="005B685D">
        <w:rPr>
          <w:rFonts w:ascii="Verdana" w:eastAsia="Times New Roman" w:hAnsi="Verdana"/>
          <w:b/>
          <w:color w:val="353535"/>
        </w:rPr>
        <w:t>NOTE TO TUTOR;</w:t>
      </w:r>
    </w:p>
    <w:p w:rsidR="005B685D" w:rsidRPr="005B685D" w:rsidRDefault="005B685D" w:rsidP="005B685D">
      <w:pPr>
        <w:spacing w:before="100" w:beforeAutospacing="1" w:after="100" w:afterAutospacing="1" w:line="240" w:lineRule="auto"/>
        <w:ind w:left="1200"/>
        <w:rPr>
          <w:rFonts w:ascii="Verdana" w:eastAsia="Times New Roman" w:hAnsi="Verdana"/>
          <w:b/>
          <w:color w:val="353535"/>
        </w:rPr>
      </w:pPr>
      <w:r w:rsidRPr="005B685D">
        <w:rPr>
          <w:rFonts w:ascii="Verdana" w:eastAsia="Times New Roman" w:hAnsi="Verdana"/>
          <w:b/>
          <w:color w:val="353535"/>
        </w:rPr>
        <w:t xml:space="preserve">Community is Fort Wayne, Indiana.  It is a diverse community with a very high number of Burmese population.   </w:t>
      </w:r>
    </w:p>
    <w:p w:rsidR="00781466" w:rsidRDefault="00781466" w:rsidP="005B685D"/>
    <w:sectPr w:rsidR="00781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A6A54"/>
    <w:multiLevelType w:val="multilevel"/>
    <w:tmpl w:val="CC0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F66CA"/>
    <w:multiLevelType w:val="multilevel"/>
    <w:tmpl w:val="393E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E10261"/>
    <w:multiLevelType w:val="multilevel"/>
    <w:tmpl w:val="CCCEB6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5D"/>
    <w:rsid w:val="005B685D"/>
    <w:rsid w:val="00781466"/>
    <w:rsid w:val="00D1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E3058-5700-4200-88A9-42728447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20408">
      <w:bodyDiv w:val="1"/>
      <w:marLeft w:val="0"/>
      <w:marRight w:val="0"/>
      <w:marTop w:val="0"/>
      <w:marBottom w:val="0"/>
      <w:divBdr>
        <w:top w:val="none" w:sz="0" w:space="0" w:color="auto"/>
        <w:left w:val="none" w:sz="0" w:space="0" w:color="auto"/>
        <w:bottom w:val="none" w:sz="0" w:space="0" w:color="auto"/>
        <w:right w:val="none" w:sz="0" w:space="0" w:color="auto"/>
      </w:divBdr>
      <w:divsChild>
        <w:div w:id="37897835">
          <w:marLeft w:val="0"/>
          <w:marRight w:val="0"/>
          <w:marTop w:val="0"/>
          <w:marBottom w:val="0"/>
          <w:divBdr>
            <w:top w:val="none" w:sz="0" w:space="0" w:color="auto"/>
            <w:left w:val="none" w:sz="0" w:space="0" w:color="auto"/>
            <w:bottom w:val="none" w:sz="0" w:space="0" w:color="auto"/>
            <w:right w:val="none" w:sz="0" w:space="0" w:color="auto"/>
          </w:divBdr>
          <w:divsChild>
            <w:div w:id="600189715">
              <w:marLeft w:val="0"/>
              <w:marRight w:val="0"/>
              <w:marTop w:val="0"/>
              <w:marBottom w:val="0"/>
              <w:divBdr>
                <w:top w:val="none" w:sz="0" w:space="0" w:color="auto"/>
                <w:left w:val="none" w:sz="0" w:space="0" w:color="auto"/>
                <w:bottom w:val="none" w:sz="0" w:space="0" w:color="auto"/>
                <w:right w:val="none" w:sz="0" w:space="0" w:color="auto"/>
              </w:divBdr>
              <w:divsChild>
                <w:div w:id="1891455691">
                  <w:marLeft w:val="0"/>
                  <w:marRight w:val="0"/>
                  <w:marTop w:val="0"/>
                  <w:marBottom w:val="0"/>
                  <w:divBdr>
                    <w:top w:val="none" w:sz="0" w:space="0" w:color="auto"/>
                    <w:left w:val="none" w:sz="0" w:space="0" w:color="auto"/>
                    <w:bottom w:val="none" w:sz="0" w:space="0" w:color="auto"/>
                    <w:right w:val="none" w:sz="0" w:space="0" w:color="auto"/>
                  </w:divBdr>
                </w:div>
                <w:div w:id="6527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8206">
          <w:marLeft w:val="0"/>
          <w:marRight w:val="0"/>
          <w:marTop w:val="0"/>
          <w:marBottom w:val="0"/>
          <w:divBdr>
            <w:top w:val="none" w:sz="0" w:space="0" w:color="auto"/>
            <w:left w:val="none" w:sz="0" w:space="0" w:color="auto"/>
            <w:bottom w:val="none" w:sz="0" w:space="0" w:color="auto"/>
            <w:right w:val="none" w:sz="0" w:space="0" w:color="auto"/>
          </w:divBdr>
          <w:divsChild>
            <w:div w:id="245577756">
              <w:marLeft w:val="0"/>
              <w:marRight w:val="0"/>
              <w:marTop w:val="0"/>
              <w:marBottom w:val="0"/>
              <w:divBdr>
                <w:top w:val="none" w:sz="0" w:space="0" w:color="auto"/>
                <w:left w:val="none" w:sz="0" w:space="0" w:color="auto"/>
                <w:bottom w:val="none" w:sz="0" w:space="0" w:color="auto"/>
                <w:right w:val="none" w:sz="0" w:space="0" w:color="auto"/>
              </w:divBdr>
            </w:div>
          </w:divsChild>
        </w:div>
        <w:div w:id="105270728">
          <w:marLeft w:val="0"/>
          <w:marRight w:val="0"/>
          <w:marTop w:val="0"/>
          <w:marBottom w:val="0"/>
          <w:divBdr>
            <w:top w:val="none" w:sz="0" w:space="0" w:color="auto"/>
            <w:left w:val="none" w:sz="0" w:space="0" w:color="auto"/>
            <w:bottom w:val="none" w:sz="0" w:space="0" w:color="auto"/>
            <w:right w:val="none" w:sz="0" w:space="0" w:color="auto"/>
          </w:divBdr>
          <w:divsChild>
            <w:div w:id="1581476187">
              <w:marLeft w:val="0"/>
              <w:marRight w:val="0"/>
              <w:marTop w:val="0"/>
              <w:marBottom w:val="0"/>
              <w:divBdr>
                <w:top w:val="none" w:sz="0" w:space="0" w:color="auto"/>
                <w:left w:val="none" w:sz="0" w:space="0" w:color="auto"/>
                <w:bottom w:val="none" w:sz="0" w:space="0" w:color="auto"/>
                <w:right w:val="none" w:sz="0" w:space="0" w:color="auto"/>
              </w:divBdr>
            </w:div>
            <w:div w:id="7959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K8glFZuQw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eog.ox.ac.uk/research/transformations/gis/papers/BlackLives2015.pdf" TargetMode="External"/><Relationship Id="rId4" Type="http://schemas.openxmlformats.org/officeDocument/2006/relationships/webSettings" Target="webSettings.xml"/><Relationship Id="rId9" Type="http://schemas.openxmlformats.org/officeDocument/2006/relationships/hyperlink" Target="https://brightspace.indwes.edu/content/enforced/10438-MASTERSWK-557(P)/Workshop_6/6.4%20Problem-Oriented%20Policing%20Transcript.pdf?_&amp;d2lSessionVal=lsStLBKZX99N2BXcvYjybApb3&amp;ou=10438&amp;_&amp;d2lSessionVal=SEkpvu9a1uQUDX5T1WnRTJMa5&amp;ou=1438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2021-07-20T21:07:00Z</dcterms:created>
  <dcterms:modified xsi:type="dcterms:W3CDTF">2021-07-20T21:18:00Z</dcterms:modified>
</cp:coreProperties>
</file>