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F3" w:rsidRPr="004160F3" w:rsidRDefault="004160F3" w:rsidP="004160F3">
      <w:pPr>
        <w:shd w:val="clear" w:color="auto" w:fill="FFFFFF"/>
        <w:spacing w:after="0" w:line="345" w:lineRule="atLeast"/>
        <w:outlineLvl w:val="1"/>
        <w:rPr>
          <w:rFonts w:ascii="Helvetica" w:eastAsia="Times New Roman" w:hAnsi="Helvetica" w:cs="Helvetica"/>
          <w:b/>
          <w:bCs/>
          <w:color w:val="AB0520"/>
          <w:sz w:val="36"/>
          <w:szCs w:val="36"/>
        </w:rPr>
      </w:pPr>
      <w:r w:rsidRPr="004160F3">
        <w:rPr>
          <w:rFonts w:ascii="Helvetica" w:eastAsia="Times New Roman" w:hAnsi="Helvetica" w:cs="Helvetica"/>
          <w:b/>
          <w:bCs/>
          <w:color w:val="AB0520"/>
          <w:sz w:val="36"/>
          <w:szCs w:val="36"/>
        </w:rPr>
        <w:fldChar w:fldCharType="begin"/>
      </w:r>
      <w:r w:rsidRPr="004160F3">
        <w:rPr>
          <w:rFonts w:ascii="Helvetica" w:eastAsia="Times New Roman" w:hAnsi="Helvetica" w:cs="Helvetica"/>
          <w:b/>
          <w:bCs/>
          <w:color w:val="AB0520"/>
          <w:sz w:val="36"/>
          <w:szCs w:val="36"/>
        </w:rPr>
        <w:instrText xml:space="preserve"> HYPERLINK "https://ashford.instructure.com/courses/86523/users/44544" \o "Author's name" </w:instrText>
      </w:r>
      <w:r w:rsidRPr="004160F3">
        <w:rPr>
          <w:rFonts w:ascii="Helvetica" w:eastAsia="Times New Roman" w:hAnsi="Helvetica" w:cs="Helvetica"/>
          <w:b/>
          <w:bCs/>
          <w:color w:val="AB0520"/>
          <w:sz w:val="36"/>
          <w:szCs w:val="36"/>
        </w:rPr>
        <w:fldChar w:fldCharType="separate"/>
      </w:r>
      <w:r w:rsidRPr="004160F3">
        <w:rPr>
          <w:rFonts w:ascii="Helvetica" w:eastAsia="Times New Roman" w:hAnsi="Helvetica" w:cs="Helvetica"/>
          <w:b/>
          <w:bCs/>
          <w:color w:val="0000FF"/>
          <w:sz w:val="36"/>
          <w:szCs w:val="36"/>
          <w:u w:val="single"/>
        </w:rPr>
        <w:t xml:space="preserve">Yesenia </w:t>
      </w:r>
      <w:proofErr w:type="spellStart"/>
      <w:r w:rsidRPr="004160F3">
        <w:rPr>
          <w:rFonts w:ascii="Helvetica" w:eastAsia="Times New Roman" w:hAnsi="Helvetica" w:cs="Helvetica"/>
          <w:b/>
          <w:bCs/>
          <w:color w:val="0000FF"/>
          <w:sz w:val="36"/>
          <w:szCs w:val="36"/>
          <w:u w:val="single"/>
        </w:rPr>
        <w:t>Llera</w:t>
      </w:r>
      <w:proofErr w:type="spellEnd"/>
      <w:r w:rsidRPr="004160F3">
        <w:rPr>
          <w:rFonts w:ascii="Helvetica" w:eastAsia="Times New Roman" w:hAnsi="Helvetica" w:cs="Helvetica"/>
          <w:b/>
          <w:bCs/>
          <w:color w:val="AB0520"/>
          <w:sz w:val="36"/>
          <w:szCs w:val="36"/>
        </w:rPr>
        <w:fldChar w:fldCharType="end"/>
      </w:r>
      <w:r>
        <w:rPr>
          <w:rFonts w:ascii="Helvetica" w:eastAsia="Times New Roman" w:hAnsi="Helvetica" w:cs="Helvetica"/>
          <w:b/>
          <w:bCs/>
          <w:color w:val="AB0520"/>
          <w:sz w:val="36"/>
          <w:szCs w:val="36"/>
        </w:rPr>
        <w:t xml:space="preserve"> post to week 2 discussion one </w:t>
      </w:r>
      <w:bookmarkStart w:id="0" w:name="_GoBack"/>
      <w:bookmarkEnd w:id="0"/>
    </w:p>
    <w:p w:rsidR="004160F3" w:rsidRDefault="004160F3" w:rsidP="004160F3">
      <w:pPr>
        <w:shd w:val="clear" w:color="auto" w:fill="FFFFFF"/>
        <w:spacing w:before="180" w:after="180" w:line="240" w:lineRule="auto"/>
        <w:rPr>
          <w:rFonts w:ascii="Helvetica" w:eastAsia="Times New Roman" w:hAnsi="Helvetica" w:cs="Helvetica"/>
          <w:color w:val="3D494C"/>
          <w:sz w:val="24"/>
          <w:szCs w:val="24"/>
        </w:rPr>
      </w:pPr>
    </w:p>
    <w:p w:rsidR="004160F3" w:rsidRDefault="004160F3" w:rsidP="004160F3">
      <w:pPr>
        <w:shd w:val="clear" w:color="auto" w:fill="FFFFFF"/>
        <w:spacing w:before="180" w:after="180" w:line="240" w:lineRule="auto"/>
        <w:rPr>
          <w:rFonts w:ascii="Helvetica" w:eastAsia="Times New Roman" w:hAnsi="Helvetica" w:cs="Helvetica"/>
          <w:color w:val="3D494C"/>
          <w:sz w:val="24"/>
          <w:szCs w:val="24"/>
        </w:rPr>
      </w:pPr>
    </w:p>
    <w:p w:rsidR="004160F3" w:rsidRPr="004160F3" w:rsidRDefault="004160F3" w:rsidP="004160F3">
      <w:pPr>
        <w:shd w:val="clear" w:color="auto" w:fill="FFFFFF"/>
        <w:spacing w:before="180" w:after="18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Health care teams can achieve therapeutic goals for individual clients by properly communicate amongst each other (</w:t>
      </w:r>
      <w:proofErr w:type="spellStart"/>
      <w:r w:rsidRPr="004160F3">
        <w:rPr>
          <w:rFonts w:ascii="Helvetica" w:eastAsia="Times New Roman" w:hAnsi="Helvetica" w:cs="Helvetica"/>
          <w:color w:val="3D494C"/>
          <w:sz w:val="24"/>
          <w:szCs w:val="24"/>
        </w:rPr>
        <w:t>Babiker</w:t>
      </w:r>
      <w:proofErr w:type="spellEnd"/>
      <w:r w:rsidRPr="004160F3">
        <w:rPr>
          <w:rFonts w:ascii="Helvetica" w:eastAsia="Times New Roman" w:hAnsi="Helvetica" w:cs="Helvetica"/>
          <w:color w:val="3D494C"/>
          <w:sz w:val="24"/>
          <w:szCs w:val="24"/>
        </w:rPr>
        <w:t xml:space="preserve"> et al., 2014). This type of team includes a variety of multidisciplinary healthcare providers that play a vital role in the patient’s intervention. Their purpose is to use the providers’ integrated skills to accommodate to the patient’s needs and offer the most relevant collaborative treatment plan that will help them as a whole. The use of a collaborative healthcare team ultimately provides the patient with an all-inclusive service to meet their unique needs without the hassle of having to go to several outside professionals for additional treatment options.</w:t>
      </w:r>
    </w:p>
    <w:p w:rsidR="004160F3" w:rsidRPr="004160F3" w:rsidRDefault="004160F3" w:rsidP="004160F3">
      <w:pPr>
        <w:shd w:val="clear" w:color="auto" w:fill="FFFFFF"/>
        <w:spacing w:before="180" w:after="18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 xml:space="preserve">Health literacy is “the degree to which individuals have the capacity to obtain, process, and understand basic health information and services needed to make appropriate health decisions" (Agency for Health Care Research and Quality, 2011, p. ES-1). With this being said, it is important to be aware of possible factors that can affect the patient’s ability to comprehend their health issues. Some of these factors include language barriers, cultural background, time constraint, educational background, the patient’s state of mind, and communication skill of the healthcare professional, just to name a few. Running the risk of having a patient have a lack of health literacy can cause misunderstandings on treatment options and on how they need to take medications if applicable. Both integrative care (IC) and collaborative care (CC) offers treatment options to treat the person as a whole. By using this method, it creates an environment </w:t>
      </w:r>
      <w:proofErr w:type="gramStart"/>
      <w:r w:rsidRPr="004160F3">
        <w:rPr>
          <w:rFonts w:ascii="Helvetica" w:eastAsia="Times New Roman" w:hAnsi="Helvetica" w:cs="Helvetica"/>
          <w:color w:val="3D494C"/>
          <w:sz w:val="24"/>
          <w:szCs w:val="24"/>
        </w:rPr>
        <w:t>of</w:t>
      </w:r>
      <w:proofErr w:type="gramEnd"/>
      <w:r w:rsidRPr="004160F3">
        <w:rPr>
          <w:rFonts w:ascii="Helvetica" w:eastAsia="Times New Roman" w:hAnsi="Helvetica" w:cs="Helvetica"/>
          <w:color w:val="3D494C"/>
          <w:sz w:val="24"/>
          <w:szCs w:val="24"/>
        </w:rPr>
        <w:t xml:space="preserve"> cultural competency that in return meets the needs of a more diverse group of patients. Therefore, IC provides effective method of communication regardless of the level of health literacy, and it creates various plans to improve the level of care for those who have a hindered health literacy (</w:t>
      </w:r>
      <w:proofErr w:type="spellStart"/>
      <w:r w:rsidRPr="004160F3">
        <w:rPr>
          <w:rFonts w:ascii="Helvetica" w:eastAsia="Times New Roman" w:hAnsi="Helvetica" w:cs="Helvetica"/>
          <w:color w:val="3D494C"/>
          <w:sz w:val="24"/>
          <w:szCs w:val="24"/>
        </w:rPr>
        <w:t>Ridpath</w:t>
      </w:r>
      <w:proofErr w:type="spellEnd"/>
      <w:r w:rsidRPr="004160F3">
        <w:rPr>
          <w:rFonts w:ascii="Helvetica" w:eastAsia="Times New Roman" w:hAnsi="Helvetica" w:cs="Helvetica"/>
          <w:color w:val="3D494C"/>
          <w:sz w:val="24"/>
          <w:szCs w:val="24"/>
        </w:rPr>
        <w:t xml:space="preserve"> et al., 2012). To create a supportive health literacy environment, health care teams have several strategies in anticipation of any level of health illiteracy in the form of further education, cultural competency, and communication/interpersonal skill trainings. By training the staff that will be participating in the health care teams, it will prepare them with health literacy in regard to policies, procedures, and the organization’s culture in general.</w:t>
      </w:r>
    </w:p>
    <w:p w:rsidR="004160F3" w:rsidRPr="004160F3" w:rsidRDefault="004160F3" w:rsidP="004160F3">
      <w:pPr>
        <w:shd w:val="clear" w:color="auto" w:fill="FFFFFF"/>
        <w:spacing w:before="180" w:after="18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A main factor that may lead to the failure of the CC/IC delivery model can be the lack of communication skills between the health care team (Kelly &amp; Coons, 2012). Lack of training for staff can also play a vital role in a failed delivery model. It is important that all participants are on the same page and thoroughly understand their role within the treatment plan. Additionally, having a difference in the culture of clinical medicine, high patient intake with time constraint, confidentiality, and poor time management or lack of control as to when to see patients can also contribute to failure (Kelly &amp; Coons, 2012).</w:t>
      </w:r>
    </w:p>
    <w:p w:rsidR="004160F3" w:rsidRPr="004160F3" w:rsidRDefault="004160F3" w:rsidP="004160F3">
      <w:pPr>
        <w:shd w:val="clear" w:color="auto" w:fill="FFFFFF"/>
        <w:spacing w:before="180" w:after="18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 xml:space="preserve">The lack of acceptance or support by stakeholders will cause a problem in the implementation of the model. The insurance and pharmaceutical companies’ goal are to maximize their overall wealth. The employer’s goal is also to make money, but health insurance is a benefit to their employees but not necessarily profitable for them. While </w:t>
      </w:r>
      <w:r w:rsidRPr="004160F3">
        <w:rPr>
          <w:rFonts w:ascii="Helvetica" w:eastAsia="Times New Roman" w:hAnsi="Helvetica" w:cs="Helvetica"/>
          <w:color w:val="3D494C"/>
          <w:sz w:val="24"/>
          <w:szCs w:val="24"/>
        </w:rPr>
        <w:lastRenderedPageBreak/>
        <w:t>mental health professionals receive compensation for their job, their main focus is to provide adequate care to their patients as well as, to attempt to control the high cost of healthcare. Patients also have the responsibility to stay on top of their health and to stay insured in order to avoid a high treatment bill. In regard to an educational setting “most university health clinics provide services to students using a general health fee that is wrapped into their tuition, eliminating difficulties with insurance claims” (</w:t>
      </w:r>
      <w:proofErr w:type="spellStart"/>
      <w:r w:rsidRPr="004160F3">
        <w:rPr>
          <w:rFonts w:ascii="Helvetica" w:eastAsia="Times New Roman" w:hAnsi="Helvetica" w:cs="Helvetica"/>
          <w:color w:val="3D494C"/>
          <w:sz w:val="24"/>
          <w:szCs w:val="24"/>
        </w:rPr>
        <w:t>Funderburk</w:t>
      </w:r>
      <w:proofErr w:type="spellEnd"/>
      <w:r w:rsidRPr="004160F3">
        <w:rPr>
          <w:rFonts w:ascii="Helvetica" w:eastAsia="Times New Roman" w:hAnsi="Helvetica" w:cs="Helvetica"/>
          <w:color w:val="3D494C"/>
          <w:sz w:val="24"/>
          <w:szCs w:val="24"/>
        </w:rPr>
        <w:t xml:space="preserve"> et al., 2012, p. 131). When the support of the factors mentioned are nor there, </w:t>
      </w:r>
      <w:proofErr w:type="gramStart"/>
      <w:r w:rsidRPr="004160F3">
        <w:rPr>
          <w:rFonts w:ascii="Helvetica" w:eastAsia="Times New Roman" w:hAnsi="Helvetica" w:cs="Helvetica"/>
          <w:color w:val="3D494C"/>
          <w:sz w:val="24"/>
          <w:szCs w:val="24"/>
        </w:rPr>
        <w:t>it will</w:t>
      </w:r>
      <w:proofErr w:type="gramEnd"/>
      <w:r w:rsidRPr="004160F3">
        <w:rPr>
          <w:rFonts w:ascii="Helvetica" w:eastAsia="Times New Roman" w:hAnsi="Helvetica" w:cs="Helvetica"/>
          <w:color w:val="3D494C"/>
          <w:sz w:val="24"/>
          <w:szCs w:val="24"/>
        </w:rPr>
        <w:t xml:space="preserve"> cause a deduction of coverage as well as, a financial tension on any reimbursement expected by insurance companies.  Therefore, it is important for the stakeholders to be informed on the value of the model before implementation to avoid having it fall apart midway through.</w:t>
      </w:r>
    </w:p>
    <w:p w:rsidR="004160F3" w:rsidRPr="004160F3" w:rsidRDefault="004160F3" w:rsidP="004160F3">
      <w:pPr>
        <w:shd w:val="clear" w:color="auto" w:fill="FFFFFF"/>
        <w:spacing w:before="180" w:after="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There are several ethical issues involving this treatment plan and making sure that every provider involved is competent and informed consent should always happen first before any form of treatment. In Section 3.07 of the APA's </w:t>
      </w:r>
      <w:r w:rsidRPr="004160F3">
        <w:rPr>
          <w:rFonts w:ascii="Helvetica" w:eastAsia="Times New Roman" w:hAnsi="Helvetica" w:cs="Helvetica"/>
          <w:i/>
          <w:iCs/>
          <w:color w:val="3D494C"/>
          <w:sz w:val="24"/>
          <w:szCs w:val="24"/>
        </w:rPr>
        <w:t>Ethical Principles of Psychologists and Code of Conduct</w:t>
      </w:r>
      <w:r w:rsidRPr="004160F3">
        <w:rPr>
          <w:rFonts w:ascii="Helvetica" w:eastAsia="Times New Roman" w:hAnsi="Helvetica" w:cs="Helvetica"/>
          <w:color w:val="3D494C"/>
          <w:sz w:val="24"/>
          <w:szCs w:val="24"/>
        </w:rPr>
        <w:t>, “When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be limits to confidentiality” (2010, para. 7). With that being said, the patient should be aware of the limits of confidentiality that come with having so many parties involved. The patient should know what type of information will be shared and with whom. When working with medical professionals, they should abide by HIPPA laws to protect the patient’s privacy of their medical records (Office for Civil Rights, 2020). They cannot share the patient’s medical results or information unless they have a signed medical release form.</w:t>
      </w:r>
    </w:p>
    <w:p w:rsidR="004160F3" w:rsidRPr="004160F3" w:rsidRDefault="004160F3" w:rsidP="004160F3">
      <w:pPr>
        <w:shd w:val="clear" w:color="auto" w:fill="FFFFFF"/>
        <w:spacing w:before="180" w:after="18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 </w:t>
      </w:r>
    </w:p>
    <w:p w:rsidR="004160F3" w:rsidRPr="004160F3" w:rsidRDefault="004160F3" w:rsidP="004160F3">
      <w:pPr>
        <w:shd w:val="clear" w:color="auto" w:fill="FFFFFF"/>
        <w:spacing w:before="180" w:after="0" w:line="240" w:lineRule="auto"/>
        <w:rPr>
          <w:rFonts w:ascii="Helvetica" w:eastAsia="Times New Roman" w:hAnsi="Helvetica" w:cs="Helvetica"/>
          <w:color w:val="3D494C"/>
          <w:sz w:val="24"/>
          <w:szCs w:val="24"/>
        </w:rPr>
      </w:pPr>
      <w:r w:rsidRPr="004160F3">
        <w:rPr>
          <w:rFonts w:ascii="Helvetica" w:eastAsia="Times New Roman" w:hAnsi="Helvetica" w:cs="Helvetica"/>
          <w:b/>
          <w:bCs/>
          <w:color w:val="3D494C"/>
          <w:sz w:val="24"/>
          <w:szCs w:val="24"/>
        </w:rPr>
        <w:t>References:</w:t>
      </w:r>
    </w:p>
    <w:p w:rsidR="004160F3" w:rsidRPr="004160F3" w:rsidRDefault="004160F3" w:rsidP="004160F3">
      <w:pPr>
        <w:shd w:val="clear" w:color="auto" w:fill="FFFFFF"/>
        <w:spacing w:after="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Agency for Health Care Research and Quality (AHRQ). 2011. </w:t>
      </w:r>
      <w:hyperlink r:id="rId4" w:tgtFrame="_blank" w:history="1">
        <w:r w:rsidRPr="004160F3">
          <w:rPr>
            <w:rFonts w:ascii="Helvetica" w:eastAsia="Times New Roman" w:hAnsi="Helvetica" w:cs="Helvetica"/>
            <w:color w:val="0000FF"/>
            <w:sz w:val="24"/>
            <w:szCs w:val="24"/>
            <w:u w:val="single"/>
          </w:rPr>
          <w:t>Health Literacy Interventions and Outcomes: an Update of the Literacy and Health Outcomes Systematic Review of Literature, 2011</w:t>
        </w:r>
        <w:r w:rsidRPr="004160F3">
          <w:rPr>
            <w:rFonts w:ascii="Helvetica" w:eastAsia="Times New Roman" w:hAnsi="Helvetica" w:cs="Helvetica"/>
            <w:color w:val="0000FF"/>
            <w:sz w:val="24"/>
            <w:szCs w:val="24"/>
            <w:u w:val="single"/>
            <w:bdr w:val="none" w:sz="0" w:space="0" w:color="auto" w:frame="1"/>
          </w:rPr>
          <w:t> (Links to an external site.)</w:t>
        </w:r>
      </w:hyperlink>
    </w:p>
    <w:p w:rsidR="004160F3" w:rsidRPr="004160F3" w:rsidRDefault="004160F3" w:rsidP="004160F3">
      <w:pPr>
        <w:shd w:val="clear" w:color="auto" w:fill="FFFFFF"/>
        <w:spacing w:before="180" w:after="18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American Psychiatric Association. Diagnostic and statistical manual of mental disorders, fifth edition (DSM-5). Washington DC: APA; 2013.</w:t>
      </w:r>
    </w:p>
    <w:p w:rsidR="004160F3" w:rsidRPr="004160F3" w:rsidRDefault="004160F3" w:rsidP="004160F3">
      <w:pPr>
        <w:shd w:val="clear" w:color="auto" w:fill="FFFFFF"/>
        <w:spacing w:before="180" w:after="180" w:line="240" w:lineRule="auto"/>
        <w:rPr>
          <w:rFonts w:ascii="Helvetica" w:eastAsia="Times New Roman" w:hAnsi="Helvetica" w:cs="Helvetica"/>
          <w:color w:val="3D494C"/>
          <w:sz w:val="24"/>
          <w:szCs w:val="24"/>
        </w:rPr>
      </w:pPr>
      <w:proofErr w:type="spellStart"/>
      <w:r w:rsidRPr="004160F3">
        <w:rPr>
          <w:rFonts w:ascii="Helvetica" w:eastAsia="Times New Roman" w:hAnsi="Helvetica" w:cs="Helvetica"/>
          <w:color w:val="3D494C"/>
          <w:sz w:val="24"/>
          <w:szCs w:val="24"/>
        </w:rPr>
        <w:t>Babiker</w:t>
      </w:r>
      <w:proofErr w:type="spellEnd"/>
      <w:r w:rsidRPr="004160F3">
        <w:rPr>
          <w:rFonts w:ascii="Helvetica" w:eastAsia="Times New Roman" w:hAnsi="Helvetica" w:cs="Helvetica"/>
          <w:color w:val="3D494C"/>
          <w:sz w:val="24"/>
          <w:szCs w:val="24"/>
        </w:rPr>
        <w:t xml:space="preserve">, A., El </w:t>
      </w:r>
      <w:proofErr w:type="spellStart"/>
      <w:r w:rsidRPr="004160F3">
        <w:rPr>
          <w:rFonts w:ascii="Helvetica" w:eastAsia="Times New Roman" w:hAnsi="Helvetica" w:cs="Helvetica"/>
          <w:color w:val="3D494C"/>
          <w:sz w:val="24"/>
          <w:szCs w:val="24"/>
        </w:rPr>
        <w:t>Husseini</w:t>
      </w:r>
      <w:proofErr w:type="spellEnd"/>
      <w:r w:rsidRPr="004160F3">
        <w:rPr>
          <w:rFonts w:ascii="Helvetica" w:eastAsia="Times New Roman" w:hAnsi="Helvetica" w:cs="Helvetica"/>
          <w:color w:val="3D494C"/>
          <w:sz w:val="24"/>
          <w:szCs w:val="24"/>
        </w:rPr>
        <w:t xml:space="preserve"> M.E., Al </w:t>
      </w:r>
      <w:proofErr w:type="spellStart"/>
      <w:r w:rsidRPr="004160F3">
        <w:rPr>
          <w:rFonts w:ascii="Helvetica" w:eastAsia="Times New Roman" w:hAnsi="Helvetica" w:cs="Helvetica"/>
          <w:color w:val="3D494C"/>
          <w:sz w:val="24"/>
          <w:szCs w:val="24"/>
        </w:rPr>
        <w:t>Nemri</w:t>
      </w:r>
      <w:proofErr w:type="spellEnd"/>
      <w:r w:rsidRPr="004160F3">
        <w:rPr>
          <w:rFonts w:ascii="Helvetica" w:eastAsia="Times New Roman" w:hAnsi="Helvetica" w:cs="Helvetica"/>
          <w:color w:val="3D494C"/>
          <w:sz w:val="24"/>
          <w:szCs w:val="24"/>
        </w:rPr>
        <w:t xml:space="preserve">, A., Al </w:t>
      </w:r>
      <w:proofErr w:type="spellStart"/>
      <w:r w:rsidRPr="004160F3">
        <w:rPr>
          <w:rFonts w:ascii="Helvetica" w:eastAsia="Times New Roman" w:hAnsi="Helvetica" w:cs="Helvetica"/>
          <w:color w:val="3D494C"/>
          <w:sz w:val="24"/>
          <w:szCs w:val="24"/>
        </w:rPr>
        <w:t>Frayh</w:t>
      </w:r>
      <w:proofErr w:type="spellEnd"/>
      <w:r w:rsidRPr="004160F3">
        <w:rPr>
          <w:rFonts w:ascii="Helvetica" w:eastAsia="Times New Roman" w:hAnsi="Helvetica" w:cs="Helvetica"/>
          <w:color w:val="3D494C"/>
          <w:sz w:val="24"/>
          <w:szCs w:val="24"/>
        </w:rPr>
        <w:t xml:space="preserve">, A., Al </w:t>
      </w:r>
      <w:proofErr w:type="spellStart"/>
      <w:r w:rsidRPr="004160F3">
        <w:rPr>
          <w:rFonts w:ascii="Helvetica" w:eastAsia="Times New Roman" w:hAnsi="Helvetica" w:cs="Helvetica"/>
          <w:color w:val="3D494C"/>
          <w:sz w:val="24"/>
          <w:szCs w:val="24"/>
        </w:rPr>
        <w:t>Juryyan</w:t>
      </w:r>
      <w:proofErr w:type="spellEnd"/>
      <w:r w:rsidRPr="004160F3">
        <w:rPr>
          <w:rFonts w:ascii="Helvetica" w:eastAsia="Times New Roman" w:hAnsi="Helvetica" w:cs="Helvetica"/>
          <w:color w:val="3D494C"/>
          <w:sz w:val="24"/>
          <w:szCs w:val="24"/>
        </w:rPr>
        <w:t xml:space="preserve">, N., </w:t>
      </w:r>
      <w:proofErr w:type="spellStart"/>
      <w:r w:rsidRPr="004160F3">
        <w:rPr>
          <w:rFonts w:ascii="Helvetica" w:eastAsia="Times New Roman" w:hAnsi="Helvetica" w:cs="Helvetica"/>
          <w:color w:val="3D494C"/>
          <w:sz w:val="24"/>
          <w:szCs w:val="24"/>
        </w:rPr>
        <w:t>Faki</w:t>
      </w:r>
      <w:proofErr w:type="spellEnd"/>
      <w:r w:rsidRPr="004160F3">
        <w:rPr>
          <w:rFonts w:ascii="Helvetica" w:eastAsia="Times New Roman" w:hAnsi="Helvetica" w:cs="Helvetica"/>
          <w:color w:val="3D494C"/>
          <w:sz w:val="24"/>
          <w:szCs w:val="24"/>
        </w:rPr>
        <w:t xml:space="preserve">, M.O., </w:t>
      </w:r>
      <w:proofErr w:type="spellStart"/>
      <w:r w:rsidRPr="004160F3">
        <w:rPr>
          <w:rFonts w:ascii="Helvetica" w:eastAsia="Times New Roman" w:hAnsi="Helvetica" w:cs="Helvetica"/>
          <w:color w:val="3D494C"/>
          <w:sz w:val="24"/>
          <w:szCs w:val="24"/>
        </w:rPr>
        <w:t>Assiri</w:t>
      </w:r>
      <w:proofErr w:type="spellEnd"/>
      <w:r w:rsidRPr="004160F3">
        <w:rPr>
          <w:rFonts w:ascii="Helvetica" w:eastAsia="Times New Roman" w:hAnsi="Helvetica" w:cs="Helvetica"/>
          <w:color w:val="3D494C"/>
          <w:sz w:val="24"/>
          <w:szCs w:val="24"/>
        </w:rPr>
        <w:t xml:space="preserve">, A., Al </w:t>
      </w:r>
      <w:proofErr w:type="spellStart"/>
      <w:r w:rsidRPr="004160F3">
        <w:rPr>
          <w:rFonts w:ascii="Helvetica" w:eastAsia="Times New Roman" w:hAnsi="Helvetica" w:cs="Helvetica"/>
          <w:color w:val="3D494C"/>
          <w:sz w:val="24"/>
          <w:szCs w:val="24"/>
        </w:rPr>
        <w:t>Saadi</w:t>
      </w:r>
      <w:proofErr w:type="spellEnd"/>
      <w:r w:rsidRPr="004160F3">
        <w:rPr>
          <w:rFonts w:ascii="Helvetica" w:eastAsia="Times New Roman" w:hAnsi="Helvetica" w:cs="Helvetica"/>
          <w:color w:val="3D494C"/>
          <w:sz w:val="24"/>
          <w:szCs w:val="24"/>
        </w:rPr>
        <w:t xml:space="preserve">, M., Al </w:t>
      </w:r>
      <w:proofErr w:type="spellStart"/>
      <w:r w:rsidRPr="004160F3">
        <w:rPr>
          <w:rFonts w:ascii="Helvetica" w:eastAsia="Times New Roman" w:hAnsi="Helvetica" w:cs="Helvetica"/>
          <w:color w:val="3D494C"/>
          <w:sz w:val="24"/>
          <w:szCs w:val="24"/>
        </w:rPr>
        <w:t>Zamil</w:t>
      </w:r>
      <w:proofErr w:type="spellEnd"/>
      <w:r w:rsidRPr="004160F3">
        <w:rPr>
          <w:rFonts w:ascii="Helvetica" w:eastAsia="Times New Roman" w:hAnsi="Helvetica" w:cs="Helvetica"/>
          <w:color w:val="3D494C"/>
          <w:sz w:val="24"/>
          <w:szCs w:val="24"/>
        </w:rPr>
        <w:t xml:space="preserve">, F. (2014). Health care professional development: Working as a team to improve patient care. Sudan J </w:t>
      </w:r>
      <w:proofErr w:type="spellStart"/>
      <w:r w:rsidRPr="004160F3">
        <w:rPr>
          <w:rFonts w:ascii="Helvetica" w:eastAsia="Times New Roman" w:hAnsi="Helvetica" w:cs="Helvetica"/>
          <w:color w:val="3D494C"/>
          <w:sz w:val="24"/>
          <w:szCs w:val="24"/>
        </w:rPr>
        <w:t>Paediatr</w:t>
      </w:r>
      <w:proofErr w:type="spellEnd"/>
      <w:r w:rsidRPr="004160F3">
        <w:rPr>
          <w:rFonts w:ascii="Helvetica" w:eastAsia="Times New Roman" w:hAnsi="Helvetica" w:cs="Helvetica"/>
          <w:color w:val="3D494C"/>
          <w:sz w:val="24"/>
          <w:szCs w:val="24"/>
        </w:rPr>
        <w:t xml:space="preserve"> 2014; 14(2):9-16</w:t>
      </w:r>
    </w:p>
    <w:p w:rsidR="004160F3" w:rsidRPr="004160F3" w:rsidRDefault="004160F3" w:rsidP="004160F3">
      <w:pPr>
        <w:shd w:val="clear" w:color="auto" w:fill="FFFFFF"/>
        <w:spacing w:before="180" w:after="0" w:line="240" w:lineRule="auto"/>
        <w:rPr>
          <w:rFonts w:ascii="Helvetica" w:eastAsia="Times New Roman" w:hAnsi="Helvetica" w:cs="Helvetica"/>
          <w:color w:val="3D494C"/>
          <w:sz w:val="24"/>
          <w:szCs w:val="24"/>
        </w:rPr>
      </w:pPr>
      <w:proofErr w:type="spellStart"/>
      <w:r w:rsidRPr="004160F3">
        <w:rPr>
          <w:rFonts w:ascii="Helvetica" w:eastAsia="Times New Roman" w:hAnsi="Helvetica" w:cs="Helvetica"/>
          <w:color w:val="3D494C"/>
          <w:sz w:val="24"/>
          <w:szCs w:val="24"/>
        </w:rPr>
        <w:t>Funderburk</w:t>
      </w:r>
      <w:proofErr w:type="spellEnd"/>
      <w:r w:rsidRPr="004160F3">
        <w:rPr>
          <w:rFonts w:ascii="Helvetica" w:eastAsia="Times New Roman" w:hAnsi="Helvetica" w:cs="Helvetica"/>
          <w:color w:val="3D494C"/>
          <w:sz w:val="24"/>
          <w:szCs w:val="24"/>
        </w:rPr>
        <w:t xml:space="preserve">, J. S., Fielder, R. L., </w:t>
      </w:r>
      <w:proofErr w:type="spellStart"/>
      <w:r w:rsidRPr="004160F3">
        <w:rPr>
          <w:rFonts w:ascii="Helvetica" w:eastAsia="Times New Roman" w:hAnsi="Helvetica" w:cs="Helvetica"/>
          <w:color w:val="3D494C"/>
          <w:sz w:val="24"/>
          <w:szCs w:val="24"/>
        </w:rPr>
        <w:t>DeMartini</w:t>
      </w:r>
      <w:proofErr w:type="spellEnd"/>
      <w:r w:rsidRPr="004160F3">
        <w:rPr>
          <w:rFonts w:ascii="Helvetica" w:eastAsia="Times New Roman" w:hAnsi="Helvetica" w:cs="Helvetica"/>
          <w:color w:val="3D494C"/>
          <w:sz w:val="24"/>
          <w:szCs w:val="24"/>
        </w:rPr>
        <w:t>, K. S., &amp; Flynn, C. A. (2012). </w:t>
      </w:r>
      <w:hyperlink r:id="rId5" w:history="1">
        <w:r w:rsidRPr="004160F3">
          <w:rPr>
            <w:rFonts w:ascii="Helvetica" w:eastAsia="Times New Roman" w:hAnsi="Helvetica" w:cs="Helvetica"/>
            <w:color w:val="0000FF"/>
            <w:sz w:val="24"/>
            <w:szCs w:val="24"/>
            <w:u w:val="single"/>
          </w:rPr>
          <w:t>Integrating behavioral health services into a university health center: Patient and provider satisfaction</w:t>
        </w:r>
      </w:hyperlink>
      <w:r w:rsidRPr="004160F3">
        <w:rPr>
          <w:rFonts w:ascii="Helvetica" w:eastAsia="Times New Roman" w:hAnsi="Helvetica" w:cs="Helvetica"/>
          <w:color w:val="3D494C"/>
          <w:sz w:val="24"/>
          <w:szCs w:val="24"/>
        </w:rPr>
        <w:t>. </w:t>
      </w:r>
      <w:r w:rsidRPr="004160F3">
        <w:rPr>
          <w:rFonts w:ascii="Helvetica" w:eastAsia="Times New Roman" w:hAnsi="Helvetica" w:cs="Helvetica"/>
          <w:i/>
          <w:iCs/>
          <w:color w:val="3D494C"/>
          <w:sz w:val="24"/>
          <w:szCs w:val="24"/>
        </w:rPr>
        <w:t>Families, Systems, &amp; Health, 30</w:t>
      </w:r>
      <w:r w:rsidRPr="004160F3">
        <w:rPr>
          <w:rFonts w:ascii="Helvetica" w:eastAsia="Times New Roman" w:hAnsi="Helvetica" w:cs="Helvetica"/>
          <w:color w:val="3D494C"/>
          <w:sz w:val="24"/>
          <w:szCs w:val="24"/>
        </w:rPr>
        <w:t xml:space="preserve">(2), 130–140. </w:t>
      </w:r>
      <w:proofErr w:type="gramStart"/>
      <w:r w:rsidRPr="004160F3">
        <w:rPr>
          <w:rFonts w:ascii="Helvetica" w:eastAsia="Times New Roman" w:hAnsi="Helvetica" w:cs="Helvetica"/>
          <w:color w:val="3D494C"/>
          <w:sz w:val="24"/>
          <w:szCs w:val="24"/>
        </w:rPr>
        <w:t>doi:</w:t>
      </w:r>
      <w:proofErr w:type="gramEnd"/>
      <w:r w:rsidRPr="004160F3">
        <w:rPr>
          <w:rFonts w:ascii="Helvetica" w:eastAsia="Times New Roman" w:hAnsi="Helvetica" w:cs="Helvetica"/>
          <w:color w:val="3D494C"/>
          <w:sz w:val="24"/>
          <w:szCs w:val="24"/>
        </w:rPr>
        <w:t>10.1037/a0028378</w:t>
      </w:r>
    </w:p>
    <w:p w:rsidR="004160F3" w:rsidRPr="004160F3" w:rsidRDefault="004160F3" w:rsidP="004160F3">
      <w:pPr>
        <w:shd w:val="clear" w:color="auto" w:fill="FFFFFF"/>
        <w:spacing w:after="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Kelly, J. F., &amp; Coons, H. L. (2012). </w:t>
      </w:r>
      <w:hyperlink r:id="rId6" w:history="1">
        <w:r w:rsidRPr="004160F3">
          <w:rPr>
            <w:rFonts w:ascii="Helvetica" w:eastAsia="Times New Roman" w:hAnsi="Helvetica" w:cs="Helvetica"/>
            <w:color w:val="0000FF"/>
            <w:sz w:val="24"/>
            <w:szCs w:val="24"/>
            <w:u w:val="single"/>
          </w:rPr>
          <w:t>Integrated health care and professional psychology: Is the setting right for you?</w:t>
        </w:r>
      </w:hyperlink>
      <w:r w:rsidRPr="004160F3">
        <w:rPr>
          <w:rFonts w:ascii="Helvetica" w:eastAsia="Times New Roman" w:hAnsi="Helvetica" w:cs="Helvetica"/>
          <w:color w:val="3D494C"/>
          <w:sz w:val="24"/>
          <w:szCs w:val="24"/>
        </w:rPr>
        <w:t> </w:t>
      </w:r>
      <w:r w:rsidRPr="004160F3">
        <w:rPr>
          <w:rFonts w:ascii="Helvetica" w:eastAsia="Times New Roman" w:hAnsi="Helvetica" w:cs="Helvetica"/>
          <w:i/>
          <w:iCs/>
          <w:color w:val="3D494C"/>
          <w:sz w:val="24"/>
          <w:szCs w:val="24"/>
        </w:rPr>
        <w:t>Professional Psychology: Research and Practice, 43</w:t>
      </w:r>
      <w:r w:rsidRPr="004160F3">
        <w:rPr>
          <w:rFonts w:ascii="Helvetica" w:eastAsia="Times New Roman" w:hAnsi="Helvetica" w:cs="Helvetica"/>
          <w:color w:val="3D494C"/>
          <w:sz w:val="24"/>
          <w:szCs w:val="24"/>
        </w:rPr>
        <w:t xml:space="preserve">(6), </w:t>
      </w:r>
      <w:r w:rsidRPr="004160F3">
        <w:rPr>
          <w:rFonts w:ascii="Helvetica" w:eastAsia="Times New Roman" w:hAnsi="Helvetica" w:cs="Helvetica"/>
          <w:color w:val="3D494C"/>
          <w:sz w:val="24"/>
          <w:szCs w:val="24"/>
        </w:rPr>
        <w:lastRenderedPageBreak/>
        <w:t>586–595. Retrieved from </w:t>
      </w:r>
      <w:hyperlink r:id="rId7" w:tgtFrame="_blank" w:history="1">
        <w:r w:rsidRPr="004160F3">
          <w:rPr>
            <w:rFonts w:ascii="Helvetica" w:eastAsia="Times New Roman" w:hAnsi="Helvetica" w:cs="Helvetica"/>
            <w:color w:val="0000FF"/>
            <w:sz w:val="24"/>
            <w:szCs w:val="24"/>
            <w:u w:val="single"/>
          </w:rPr>
          <w:t>http://www.apa.org/pubs/journals/pro/</w:t>
        </w:r>
        <w:r w:rsidRPr="004160F3">
          <w:rPr>
            <w:rFonts w:ascii="Helvetica" w:eastAsia="Times New Roman" w:hAnsi="Helvetica" w:cs="Helvetica"/>
            <w:color w:val="0000FF"/>
            <w:sz w:val="24"/>
            <w:szCs w:val="24"/>
            <w:u w:val="single"/>
            <w:bdr w:val="none" w:sz="0" w:space="0" w:color="auto" w:frame="1"/>
          </w:rPr>
          <w:t> (Links to an external site.)</w:t>
        </w:r>
      </w:hyperlink>
    </w:p>
    <w:p w:rsidR="004160F3" w:rsidRPr="004160F3" w:rsidRDefault="004160F3" w:rsidP="004160F3">
      <w:pPr>
        <w:shd w:val="clear" w:color="auto" w:fill="FFFFFF"/>
        <w:spacing w:after="0" w:line="240" w:lineRule="auto"/>
        <w:rPr>
          <w:rFonts w:ascii="Helvetica" w:eastAsia="Times New Roman" w:hAnsi="Helvetica" w:cs="Helvetica"/>
          <w:color w:val="3D494C"/>
          <w:sz w:val="24"/>
          <w:szCs w:val="24"/>
        </w:rPr>
      </w:pPr>
      <w:r w:rsidRPr="004160F3">
        <w:rPr>
          <w:rFonts w:ascii="Helvetica" w:eastAsia="Times New Roman" w:hAnsi="Helvetica" w:cs="Helvetica"/>
          <w:color w:val="3D494C"/>
          <w:sz w:val="24"/>
          <w:szCs w:val="24"/>
        </w:rPr>
        <w:t>Office for Civil Rights. (2020). </w:t>
      </w:r>
      <w:r w:rsidRPr="004160F3">
        <w:rPr>
          <w:rFonts w:ascii="Helvetica" w:eastAsia="Times New Roman" w:hAnsi="Helvetica" w:cs="Helvetica"/>
          <w:i/>
          <w:iCs/>
          <w:color w:val="3D494C"/>
          <w:sz w:val="24"/>
          <w:szCs w:val="24"/>
        </w:rPr>
        <w:t xml:space="preserve">Your Rights </w:t>
      </w:r>
      <w:proofErr w:type="gramStart"/>
      <w:r w:rsidRPr="004160F3">
        <w:rPr>
          <w:rFonts w:ascii="Helvetica" w:eastAsia="Times New Roman" w:hAnsi="Helvetica" w:cs="Helvetica"/>
          <w:i/>
          <w:iCs/>
          <w:color w:val="3D494C"/>
          <w:sz w:val="24"/>
          <w:szCs w:val="24"/>
        </w:rPr>
        <w:t>Under</w:t>
      </w:r>
      <w:proofErr w:type="gramEnd"/>
      <w:r w:rsidRPr="004160F3">
        <w:rPr>
          <w:rFonts w:ascii="Helvetica" w:eastAsia="Times New Roman" w:hAnsi="Helvetica" w:cs="Helvetica"/>
          <w:i/>
          <w:iCs/>
          <w:color w:val="3D494C"/>
          <w:sz w:val="24"/>
          <w:szCs w:val="24"/>
        </w:rPr>
        <w:t xml:space="preserve"> HIPAA</w:t>
      </w:r>
      <w:r w:rsidRPr="004160F3">
        <w:rPr>
          <w:rFonts w:ascii="Helvetica" w:eastAsia="Times New Roman" w:hAnsi="Helvetica" w:cs="Helvetica"/>
          <w:color w:val="3D494C"/>
          <w:sz w:val="24"/>
          <w:szCs w:val="24"/>
        </w:rPr>
        <w:t>. HHS.gov. Retrieved 22 June 2021, from </w:t>
      </w:r>
      <w:hyperlink r:id="rId8" w:tgtFrame="_blank" w:history="1">
        <w:r w:rsidRPr="004160F3">
          <w:rPr>
            <w:rFonts w:ascii="Helvetica" w:eastAsia="Times New Roman" w:hAnsi="Helvetica" w:cs="Helvetica"/>
            <w:color w:val="0000FF"/>
            <w:sz w:val="24"/>
            <w:szCs w:val="24"/>
            <w:u w:val="single"/>
          </w:rPr>
          <w:t>https://www.hhs.gov/hipaa/for-individuals/guidance-materials-for-consumers/index.html</w:t>
        </w:r>
        <w:r w:rsidRPr="004160F3">
          <w:rPr>
            <w:rFonts w:ascii="Helvetica" w:eastAsia="Times New Roman" w:hAnsi="Helvetica" w:cs="Helvetica"/>
            <w:color w:val="0000FF"/>
            <w:sz w:val="24"/>
            <w:szCs w:val="24"/>
            <w:u w:val="single"/>
            <w:bdr w:val="none" w:sz="0" w:space="0" w:color="auto" w:frame="1"/>
          </w:rPr>
          <w:t> (Links to an external site.)</w:t>
        </w:r>
      </w:hyperlink>
      <w:r w:rsidRPr="004160F3">
        <w:rPr>
          <w:rFonts w:ascii="Helvetica" w:eastAsia="Times New Roman" w:hAnsi="Helvetica" w:cs="Helvetica"/>
          <w:color w:val="3D494C"/>
          <w:sz w:val="24"/>
          <w:szCs w:val="24"/>
        </w:rPr>
        <w:t>.</w:t>
      </w:r>
    </w:p>
    <w:p w:rsidR="004160F3" w:rsidRPr="004160F3" w:rsidRDefault="004160F3" w:rsidP="004160F3">
      <w:pPr>
        <w:shd w:val="clear" w:color="auto" w:fill="FFFFFF"/>
        <w:spacing w:before="180" w:after="0" w:line="240" w:lineRule="auto"/>
        <w:rPr>
          <w:rFonts w:ascii="Helvetica" w:eastAsia="Times New Roman" w:hAnsi="Helvetica" w:cs="Helvetica"/>
          <w:color w:val="3D494C"/>
          <w:sz w:val="24"/>
          <w:szCs w:val="24"/>
        </w:rPr>
      </w:pPr>
      <w:proofErr w:type="spellStart"/>
      <w:r w:rsidRPr="004160F3">
        <w:rPr>
          <w:rFonts w:ascii="Helvetica" w:eastAsia="Times New Roman" w:hAnsi="Helvetica" w:cs="Helvetica"/>
          <w:color w:val="3D494C"/>
          <w:sz w:val="24"/>
          <w:szCs w:val="24"/>
        </w:rPr>
        <w:t>Ridpath</w:t>
      </w:r>
      <w:proofErr w:type="spellEnd"/>
      <w:r w:rsidRPr="004160F3">
        <w:rPr>
          <w:rFonts w:ascii="Helvetica" w:eastAsia="Times New Roman" w:hAnsi="Helvetica" w:cs="Helvetica"/>
          <w:color w:val="3D494C"/>
          <w:sz w:val="24"/>
          <w:szCs w:val="24"/>
        </w:rPr>
        <w:t xml:space="preserve">, J. R., Larson, E. B., &amp; Greene, S. M. (2012). Can Integrating Health Literacy into the Patient-centered Medical Home </w:t>
      </w:r>
      <w:proofErr w:type="gramStart"/>
      <w:r w:rsidRPr="004160F3">
        <w:rPr>
          <w:rFonts w:ascii="Helvetica" w:eastAsia="Times New Roman" w:hAnsi="Helvetica" w:cs="Helvetica"/>
          <w:color w:val="3D494C"/>
          <w:sz w:val="24"/>
          <w:szCs w:val="24"/>
        </w:rPr>
        <w:t>Help</w:t>
      </w:r>
      <w:proofErr w:type="gramEnd"/>
      <w:r w:rsidRPr="004160F3">
        <w:rPr>
          <w:rFonts w:ascii="Helvetica" w:eastAsia="Times New Roman" w:hAnsi="Helvetica" w:cs="Helvetica"/>
          <w:color w:val="3D494C"/>
          <w:sz w:val="24"/>
          <w:szCs w:val="24"/>
        </w:rPr>
        <w:t xml:space="preserve"> us Weather the Perfect Storm? </w:t>
      </w:r>
      <w:r w:rsidRPr="004160F3">
        <w:rPr>
          <w:rFonts w:ascii="Helvetica" w:eastAsia="Times New Roman" w:hAnsi="Helvetica" w:cs="Helvetica"/>
          <w:i/>
          <w:iCs/>
          <w:color w:val="3D494C"/>
          <w:sz w:val="24"/>
          <w:szCs w:val="24"/>
        </w:rPr>
        <w:t>Journal of General Internal Medicine</w:t>
      </w:r>
      <w:r w:rsidRPr="004160F3">
        <w:rPr>
          <w:rFonts w:ascii="Helvetica" w:eastAsia="Times New Roman" w:hAnsi="Helvetica" w:cs="Helvetica"/>
          <w:color w:val="3D494C"/>
          <w:sz w:val="24"/>
          <w:szCs w:val="24"/>
        </w:rPr>
        <w:t>, </w:t>
      </w:r>
      <w:r w:rsidRPr="004160F3">
        <w:rPr>
          <w:rFonts w:ascii="Helvetica" w:eastAsia="Times New Roman" w:hAnsi="Helvetica" w:cs="Helvetica"/>
          <w:i/>
          <w:iCs/>
          <w:color w:val="3D494C"/>
          <w:sz w:val="24"/>
          <w:szCs w:val="24"/>
        </w:rPr>
        <w:t>27</w:t>
      </w:r>
      <w:r w:rsidRPr="004160F3">
        <w:rPr>
          <w:rFonts w:ascii="Helvetica" w:eastAsia="Times New Roman" w:hAnsi="Helvetica" w:cs="Helvetica"/>
          <w:color w:val="3D494C"/>
          <w:sz w:val="24"/>
          <w:szCs w:val="24"/>
        </w:rPr>
        <w:t>(5), 588.</w:t>
      </w:r>
    </w:p>
    <w:p w:rsidR="004160F3" w:rsidRPr="004160F3" w:rsidRDefault="004160F3" w:rsidP="004160F3">
      <w:pPr>
        <w:shd w:val="clear" w:color="auto" w:fill="FFFFFF"/>
        <w:spacing w:after="0" w:line="240" w:lineRule="auto"/>
        <w:rPr>
          <w:rFonts w:ascii="Helvetica" w:eastAsia="Times New Roman" w:hAnsi="Helvetica" w:cs="Helvetica"/>
          <w:color w:val="3D494C"/>
          <w:sz w:val="24"/>
          <w:szCs w:val="24"/>
        </w:rPr>
      </w:pPr>
      <w:hyperlink r:id="rId9" w:history="1">
        <w:r w:rsidRPr="004160F3">
          <w:rPr>
            <w:rFonts w:ascii="Helvetica" w:eastAsia="Times New Roman" w:hAnsi="Helvetica" w:cs="Helvetica"/>
            <w:color w:val="0000FF"/>
            <w:sz w:val="24"/>
            <w:szCs w:val="24"/>
            <w:u w:val="single"/>
          </w:rPr>
          <w:t> Reply</w:t>
        </w:r>
      </w:hyperlink>
    </w:p>
    <w:p w:rsidR="00B91921" w:rsidRDefault="00B91921"/>
    <w:sectPr w:rsidR="00B9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F3"/>
    <w:rsid w:val="004160F3"/>
    <w:rsid w:val="00B9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E35F"/>
  <w15:chartTrackingRefBased/>
  <w15:docId w15:val="{530FE62D-6B3D-4102-8472-3BDCB891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9837">
      <w:bodyDiv w:val="1"/>
      <w:marLeft w:val="0"/>
      <w:marRight w:val="0"/>
      <w:marTop w:val="0"/>
      <w:marBottom w:val="0"/>
      <w:divBdr>
        <w:top w:val="none" w:sz="0" w:space="0" w:color="auto"/>
        <w:left w:val="none" w:sz="0" w:space="0" w:color="auto"/>
        <w:bottom w:val="none" w:sz="0" w:space="0" w:color="auto"/>
        <w:right w:val="none" w:sz="0" w:space="0" w:color="auto"/>
      </w:divBdr>
      <w:divsChild>
        <w:div w:id="800801833">
          <w:marLeft w:val="0"/>
          <w:marRight w:val="0"/>
          <w:marTop w:val="0"/>
          <w:marBottom w:val="0"/>
          <w:divBdr>
            <w:top w:val="none" w:sz="0" w:space="0" w:color="auto"/>
            <w:left w:val="none" w:sz="0" w:space="0" w:color="auto"/>
            <w:bottom w:val="none" w:sz="0" w:space="0" w:color="auto"/>
            <w:right w:val="none" w:sz="0" w:space="0" w:color="auto"/>
          </w:divBdr>
        </w:div>
      </w:divsChild>
    </w:div>
    <w:div w:id="16313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individuals/guidance-materials-for-consumers/index.html" TargetMode="External"/><Relationship Id="rId3" Type="http://schemas.openxmlformats.org/officeDocument/2006/relationships/webSettings" Target="webSettings.xml"/><Relationship Id="rId7" Type="http://schemas.openxmlformats.org/officeDocument/2006/relationships/hyperlink" Target="http://www.apa.org/pubs/journals/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33696-001%252526site%3Dehost-live" TargetMode="External"/><Relationship Id="rId11" Type="http://schemas.openxmlformats.org/officeDocument/2006/relationships/theme" Target="theme/theme1.xml"/><Relationship Id="rId5"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12934-001%252526site%3Dehost-live" TargetMode="External"/><Relationship Id="rId10" Type="http://schemas.openxmlformats.org/officeDocument/2006/relationships/fontTable" Target="fontTable.xml"/><Relationship Id="rId4" Type="http://schemas.openxmlformats.org/officeDocument/2006/relationships/hyperlink" Target="http://www.ahrq.gov/downloads/pub/evidence/pdf/literacy/literacyup.pdf" TargetMode="External"/><Relationship Id="rId9" Type="http://schemas.openxmlformats.org/officeDocument/2006/relationships/hyperlink" Target="https://ashford.instructure.com/courses/86523/discussion_topics/2411160?module_item_id=4375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2021-06-22T20:48:00Z</dcterms:created>
  <dcterms:modified xsi:type="dcterms:W3CDTF">2021-06-22T20:49:00Z</dcterms:modified>
</cp:coreProperties>
</file>