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5047" w14:textId="77777777" w:rsidR="00E27635" w:rsidRPr="00E27635" w:rsidRDefault="00E27635" w:rsidP="00E2763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785432"/>
          <w:kern w:val="36"/>
          <w:sz w:val="48"/>
          <w:szCs w:val="48"/>
        </w:rPr>
      </w:pPr>
      <w:r w:rsidRPr="00E27635">
        <w:rPr>
          <w:rFonts w:ascii="Arial" w:eastAsia="Times New Roman" w:hAnsi="Arial" w:cs="Arial"/>
          <w:color w:val="785432"/>
          <w:kern w:val="36"/>
          <w:sz w:val="48"/>
          <w:szCs w:val="48"/>
        </w:rPr>
        <w:t>Learning Resources</w:t>
      </w:r>
    </w:p>
    <w:p w14:paraId="2DD87129" w14:textId="77777777" w:rsidR="00E27635" w:rsidRPr="00E27635" w:rsidRDefault="00E27635" w:rsidP="00E2763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E27635">
        <w:rPr>
          <w:rFonts w:ascii="Arial" w:eastAsia="Times New Roman" w:hAnsi="Arial" w:cs="Arial"/>
          <w:color w:val="785432"/>
          <w:sz w:val="24"/>
          <w:szCs w:val="24"/>
        </w:rPr>
        <w:t>Required Readings</w:t>
      </w:r>
    </w:p>
    <w:p w14:paraId="637A02AA" w14:textId="77777777" w:rsidR="00E27635" w:rsidRPr="00E27635" w:rsidRDefault="00E27635" w:rsidP="00E27635">
      <w:pPr>
        <w:spacing w:after="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 xml:space="preserve">Morrison, J. (2014). </w:t>
      </w:r>
      <w:r w:rsidRPr="00E27635">
        <w:rPr>
          <w:rFonts w:ascii="inherit" w:eastAsia="Times New Roman" w:hAnsi="inherit" w:cs="Times New Roman"/>
          <w:i/>
          <w:iCs/>
          <w:color w:val="676767"/>
          <w:sz w:val="24"/>
          <w:szCs w:val="24"/>
        </w:rPr>
        <w:t>Diagnosis made easier: Principles and techniques for mental health clinicians</w:t>
      </w: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 xml:space="preserve"> (2nd ed.). New York, NY: Guilford Press.</w:t>
      </w:r>
    </w:p>
    <w:p w14:paraId="5AC52C9E" w14:textId="77777777" w:rsidR="00E27635" w:rsidRPr="00E27635" w:rsidRDefault="00E27635" w:rsidP="00E27635">
      <w:pPr>
        <w:numPr>
          <w:ilvl w:val="0"/>
          <w:numId w:val="1"/>
        </w:numPr>
        <w:spacing w:after="0" w:line="240" w:lineRule="auto"/>
        <w:ind w:left="1440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Chapter 10, “Diagnosis and the Mental Status Exam” (pp. 119–126)</w:t>
      </w:r>
    </w:p>
    <w:p w14:paraId="594D82B6" w14:textId="77777777" w:rsidR="00E27635" w:rsidRPr="00E27635" w:rsidRDefault="00E27635" w:rsidP="00E27635">
      <w:pPr>
        <w:numPr>
          <w:ilvl w:val="0"/>
          <w:numId w:val="1"/>
        </w:numPr>
        <w:spacing w:after="100" w:line="240" w:lineRule="auto"/>
        <w:ind w:left="1440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Chapter 17, “Beyond Diagnosis: Compliance, Suicide, Violence” (pp. 271–280)</w:t>
      </w:r>
    </w:p>
    <w:p w14:paraId="0D9C6DBE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76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"https://go.openathens.net/redirector/waldenu.edu?url=https://doi.org/10.1176/appi.books.9780890425596.UseofDSM5" \o "Use of the Manual" \t "_blank" </w:instrText>
      </w: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52ABB89" w14:textId="77777777" w:rsidR="00E27635" w:rsidRPr="00E27635" w:rsidRDefault="00E27635" w:rsidP="00E27635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 xml:space="preserve">American Psychiatric Association. (2013t). Use of the manual. In Diagnostic and statistical manual of mental disorders (5th ed.). Arlington, VA: Author. </w:t>
      </w:r>
      <w:proofErr w:type="gramStart"/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doi:10.1176/appi.books.9780890425596.UseofDSM5</w:t>
      </w:r>
      <w:proofErr w:type="gramEnd"/>
    </w:p>
    <w:p w14:paraId="13694260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241AEA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76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"https://go.openathens.net/redirector/waldenu.edu?url=https://doi.org/10.1176/appi.books.9780890425596.AssessmentMeasures" \o "Assessment Measures" \t "_blank" </w:instrText>
      </w: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C296C22" w14:textId="77777777" w:rsidR="00E27635" w:rsidRPr="00E27635" w:rsidRDefault="00E27635" w:rsidP="00E27635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 xml:space="preserve">American Psychiatric Association. (2013). Assessment measures. In Diagnostic and statistical manual of mental disorders (5th ed.). Arlington, VA: Author. </w:t>
      </w:r>
      <w:proofErr w:type="gramStart"/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doi:10.1176/appi.books.9780890425596.AssessmentMeasures</w:t>
      </w:r>
      <w:proofErr w:type="gramEnd"/>
    </w:p>
    <w:p w14:paraId="4C26281F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EDE09F2" w14:textId="77777777" w:rsidR="00E27635" w:rsidRPr="00E27635" w:rsidRDefault="00E27635" w:rsidP="00E27635">
      <w:pPr>
        <w:shd w:val="clear" w:color="auto" w:fill="F8F8F8"/>
        <w:spacing w:after="0" w:line="240" w:lineRule="auto"/>
        <w:ind w:left="1200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Focus on the “Cross-Cutting Symptom Measures” section.</w:t>
      </w:r>
    </w:p>
    <w:p w14:paraId="57307D34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76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"https://search.ebscohost.com/login.aspx?direct=true&amp;db=mnh&amp;AN=23356681&amp;site=eds-live&amp;scope=site&amp;authtype=shib&amp;custid=s6527200" \o "A tool for the culturally competent assessment of suicide: the Cultural Assessment of Risk for Suicide (CARS) measure" \t "_blank" </w:instrText>
      </w: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A400A21" w14:textId="77777777" w:rsidR="00E27635" w:rsidRPr="00E27635" w:rsidRDefault="00E27635" w:rsidP="00E27635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Chu, J., Floyd, R., Diep, H., Pardo, S., Goldblum, P., &amp; Bongar, B. (2013). A tool for the culturally competent assessment of suicide: The Cultural Assessment of Risk for Suicide (CARS) measure. Psychological Assessment, 25(2), 424–434. doi:10.1037/a0031264</w:t>
      </w:r>
    </w:p>
    <w:p w14:paraId="05D196D1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4938918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76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"https://search.ebscohost.com/login.aspx?direct=true&amp;db=sih&amp;AN=95704752&amp;site=ehost-live&amp;scope=site&amp;authtype=shib&amp;custid=s6527200" \o "Suicide Prevention in Social Work Education: How Prepared Are Social Work Students?" \t "_blank" </w:instrText>
      </w: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AFF4E43" w14:textId="77777777" w:rsidR="00E27635" w:rsidRPr="00E27635" w:rsidRDefault="00E27635" w:rsidP="00E27635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 xml:space="preserve">Osteen, P. J., Jacobson, J. M., &amp; Sharpe, T. L. (2014). Suicide prevention in social work education: How prepared are social work </w:t>
      </w:r>
      <w:proofErr w:type="gramStart"/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students?.</w:t>
      </w:r>
      <w:proofErr w:type="gramEnd"/>
      <w:r w:rsidRPr="00E27635">
        <w:rPr>
          <w:rFonts w:ascii="inherit" w:eastAsia="Times New Roman" w:hAnsi="inherit" w:cs="Times New Roman"/>
          <w:i/>
          <w:iCs/>
          <w:color w:val="676767"/>
          <w:sz w:val="24"/>
          <w:szCs w:val="24"/>
        </w:rPr>
        <w:t xml:space="preserve"> Journal of Social Work Education, 50</w:t>
      </w:r>
      <w:r w:rsidRPr="00E27635">
        <w:rPr>
          <w:rFonts w:ascii="inherit" w:eastAsia="Times New Roman" w:hAnsi="inherit" w:cs="Times New Roman"/>
          <w:color w:val="676767"/>
          <w:sz w:val="24"/>
          <w:szCs w:val="24"/>
        </w:rPr>
        <w:t>(2), 349-364.</w:t>
      </w:r>
    </w:p>
    <w:p w14:paraId="6F6A336F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8441405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A5E2F9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76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"https://help.blackboard.com/Collaborate/Ultra/Moderator" \o "Collaborate Ultra help for moderators" \t "_blank" </w:instrText>
      </w: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6C0F6D5" w14:textId="77777777" w:rsidR="00E27635" w:rsidRPr="00E27635" w:rsidRDefault="00E27635" w:rsidP="00E27635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</w:rPr>
      </w:pPr>
      <w:r w:rsidRPr="00E27635">
        <w:rPr>
          <w:rFonts w:ascii="inherit" w:eastAsia="Times New Roman" w:hAnsi="inherit" w:cs="Times New Roman"/>
          <w:color w:val="FFFFFF"/>
          <w:sz w:val="24"/>
          <w:szCs w:val="24"/>
          <w:shd w:val="clear" w:color="auto" w:fill="A5E2F9"/>
        </w:rPr>
        <w:t>Blackboard. (2018). Collaborate Ultra help for moderators. Retrieved from https://help.blackboard.com/Collaborate/Ultra/Moderator</w:t>
      </w:r>
    </w:p>
    <w:p w14:paraId="73CA1C3F" w14:textId="77777777" w:rsidR="00E27635" w:rsidRPr="00E27635" w:rsidRDefault="00E27635" w:rsidP="00E27635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shd w:val="clear" w:color="auto" w:fill="A5E2F9"/>
        </w:rPr>
      </w:pPr>
      <w:r w:rsidRPr="00E27635">
        <w:rPr>
          <w:rFonts w:ascii="inherit" w:eastAsia="Times New Roman" w:hAnsi="inherit" w:cs="Times New Roman"/>
          <w:color w:val="FFFFFF"/>
          <w:sz w:val="24"/>
          <w:szCs w:val="24"/>
          <w:shd w:val="clear" w:color="auto" w:fill="A5E2F9"/>
        </w:rPr>
        <w:t> </w:t>
      </w:r>
    </w:p>
    <w:p w14:paraId="2BAA990B" w14:textId="77777777" w:rsidR="00E27635" w:rsidRPr="00E27635" w:rsidRDefault="00E27635" w:rsidP="00E27635">
      <w:pPr>
        <w:spacing w:after="100" w:line="240" w:lineRule="auto"/>
        <w:rPr>
          <w:rFonts w:ascii="inherit" w:eastAsia="Times New Roman" w:hAnsi="inherit" w:cs="Times New Roman"/>
          <w:color w:val="FFFFFF"/>
          <w:sz w:val="24"/>
          <w:szCs w:val="24"/>
          <w:shd w:val="clear" w:color="auto" w:fill="A5E2F9"/>
        </w:rPr>
      </w:pPr>
      <w:r w:rsidRPr="00E27635">
        <w:rPr>
          <w:rFonts w:ascii="inherit" w:eastAsia="Times New Roman" w:hAnsi="inherit" w:cs="Times New Roman"/>
          <w:b/>
          <w:bCs/>
          <w:color w:val="FFFFFF"/>
          <w:sz w:val="24"/>
          <w:szCs w:val="24"/>
          <w:shd w:val="clear" w:color="auto" w:fill="A5E2F9"/>
        </w:rPr>
        <w:t>Note:</w:t>
      </w:r>
      <w:r w:rsidRPr="00E27635">
        <w:rPr>
          <w:rFonts w:ascii="inherit" w:eastAsia="Times New Roman" w:hAnsi="inherit" w:cs="Times New Roman"/>
          <w:color w:val="FFFFFF"/>
          <w:sz w:val="24"/>
          <w:szCs w:val="24"/>
          <w:shd w:val="clear" w:color="auto" w:fill="A5E2F9"/>
        </w:rPr>
        <w:t xml:space="preserve"> Beginning in Week 4, you will be using a feature in your online classroom called Collaborate Ultra. Your </w:t>
      </w:r>
      <w:proofErr w:type="gramStart"/>
      <w:r w:rsidRPr="00E27635">
        <w:rPr>
          <w:rFonts w:ascii="inherit" w:eastAsia="Times New Roman" w:hAnsi="inherit" w:cs="Times New Roman"/>
          <w:color w:val="FFFFFF"/>
          <w:sz w:val="24"/>
          <w:szCs w:val="24"/>
          <w:shd w:val="clear" w:color="auto" w:fill="A5E2F9"/>
        </w:rPr>
        <w:t>Instructor</w:t>
      </w:r>
      <w:proofErr w:type="gramEnd"/>
      <w:r w:rsidRPr="00E27635">
        <w:rPr>
          <w:rFonts w:ascii="inherit" w:eastAsia="Times New Roman" w:hAnsi="inherit" w:cs="Times New Roman"/>
          <w:color w:val="FFFFFF"/>
          <w:sz w:val="24"/>
          <w:szCs w:val="24"/>
          <w:shd w:val="clear" w:color="auto" w:fill="A5E2F9"/>
        </w:rPr>
        <w:t xml:space="preserve"> will assign you a partner and then give you moderator access to a Collaborate Ultra meeting room. This link provides an overview and help features for use in the moderator role.</w:t>
      </w:r>
    </w:p>
    <w:p w14:paraId="4ABE1416" w14:textId="77777777" w:rsidR="00E27635" w:rsidRPr="00E27635" w:rsidRDefault="00E27635" w:rsidP="00E276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76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"https://content.waldenu.edu/8884b71498ea0697f9bd3ea6e2973217.docx" \o "Case Collaboration Meeting Guidelines" </w:instrText>
      </w:r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91568B4" w14:textId="77777777" w:rsidR="00E27635" w:rsidRPr="00E27635" w:rsidRDefault="00E27635" w:rsidP="00E27635">
      <w:pPr>
        <w:spacing w:after="10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E27635">
        <w:rPr>
          <w:rFonts w:ascii="Arial" w:eastAsia="Times New Roman" w:hAnsi="Arial" w:cs="Arial"/>
          <w:color w:val="676767"/>
          <w:sz w:val="24"/>
          <w:szCs w:val="24"/>
        </w:rPr>
        <w:br/>
      </w:r>
    </w:p>
    <w:p w14:paraId="7D1CB0DE" w14:textId="455EC3FE" w:rsidR="00955BE1" w:rsidRPr="00E27635" w:rsidRDefault="00E27635" w:rsidP="00E27635">
      <w:r w:rsidRPr="00E276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55BE1" w:rsidRPr="00E2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CF6"/>
    <w:multiLevelType w:val="multilevel"/>
    <w:tmpl w:val="9FD8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35"/>
    <w:rsid w:val="005D78FA"/>
    <w:rsid w:val="00955BE1"/>
    <w:rsid w:val="00D44204"/>
    <w:rsid w:val="00E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8B7A"/>
  <w15:chartTrackingRefBased/>
  <w15:docId w15:val="{091ED071-78EE-450E-A8F4-21482CC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19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665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2060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2765197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1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00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5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4231908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2136560661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Phillips</dc:creator>
  <cp:keywords/>
  <dc:description/>
  <cp:lastModifiedBy>Demetria Phillips</cp:lastModifiedBy>
  <cp:revision>2</cp:revision>
  <dcterms:created xsi:type="dcterms:W3CDTF">2021-12-16T21:19:00Z</dcterms:created>
  <dcterms:modified xsi:type="dcterms:W3CDTF">2021-12-16T21:19:00Z</dcterms:modified>
</cp:coreProperties>
</file>