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C723" w14:textId="77777777" w:rsidR="00CB7A57" w:rsidRDefault="003B1641">
      <w:pPr>
        <w:spacing w:after="0" w:line="259" w:lineRule="auto"/>
        <w:ind w:left="0" w:firstLine="0"/>
        <w:jc w:val="left"/>
      </w:pPr>
      <w:r>
        <w:rPr>
          <w:rFonts w:ascii="Calibri" w:eastAsia="Calibri" w:hAnsi="Calibri" w:cs="Calibri"/>
          <w:i/>
          <w:sz w:val="60"/>
        </w:rPr>
        <w:t xml:space="preserve">Good to Great, </w:t>
      </w:r>
      <w:r>
        <w:rPr>
          <w:rFonts w:ascii="Calibri" w:eastAsia="Calibri" w:hAnsi="Calibri" w:cs="Calibri"/>
          <w:sz w:val="60"/>
        </w:rPr>
        <w:t>or Just Good?</w:t>
      </w:r>
    </w:p>
    <w:p w14:paraId="4A6366DA" w14:textId="77777777" w:rsidR="00CB7A57" w:rsidRDefault="003B1641">
      <w:pPr>
        <w:spacing w:after="844" w:line="259" w:lineRule="auto"/>
        <w:ind w:left="0" w:firstLine="0"/>
        <w:jc w:val="left"/>
      </w:pPr>
      <w:r>
        <w:rPr>
          <w:rFonts w:ascii="Calibri" w:eastAsia="Calibri" w:hAnsi="Calibri" w:cs="Calibri"/>
        </w:rPr>
        <w:t>by Bruce Niendorf and Kristine Beck</w:t>
      </w:r>
    </w:p>
    <w:p w14:paraId="626D8A91" w14:textId="77777777" w:rsidR="00CB7A57" w:rsidRDefault="003B1641">
      <w:pPr>
        <w:pStyle w:val="1"/>
      </w:pPr>
      <w:r>
        <w:t>Executive Overview</w:t>
      </w:r>
    </w:p>
    <w:p w14:paraId="1F69C08F" w14:textId="77777777" w:rsidR="00CB7A57" w:rsidRDefault="003B1641">
      <w:pPr>
        <w:spacing w:after="4" w:line="244" w:lineRule="auto"/>
        <w:ind w:left="-15" w:firstLine="0"/>
      </w:pPr>
      <w:r>
        <w:rPr>
          <w:i/>
          <w:sz w:val="20"/>
        </w:rPr>
        <w:t xml:space="preserve">Good to Great </w:t>
      </w:r>
      <w:r>
        <w:rPr>
          <w:sz w:val="20"/>
        </w:rPr>
        <w:t xml:space="preserve">has been on </w:t>
      </w:r>
      <w:r>
        <w:rPr>
          <w:i/>
          <w:sz w:val="20"/>
        </w:rPr>
        <w:t xml:space="preserve">BusinessWeek’s </w:t>
      </w:r>
      <w:r>
        <w:rPr>
          <w:sz w:val="20"/>
        </w:rPr>
        <w:t xml:space="preserve">best-seller list since its October 2001 release. In </w:t>
      </w:r>
      <w:r>
        <w:rPr>
          <w:i/>
          <w:sz w:val="20"/>
        </w:rPr>
        <w:t>Good to Great</w:t>
      </w:r>
      <w:r>
        <w:rPr>
          <w:sz w:val="20"/>
        </w:rPr>
        <w:t xml:space="preserve">, </w:t>
      </w:r>
      <w:r>
        <w:rPr>
          <w:sz w:val="20"/>
        </w:rPr>
        <w:t xml:space="preserve">author Jim Collins identified a set of 11 firms as great, then used them to derive five management principles he believed led to “sustained great results.” We contend that due to two fatal errors, </w:t>
      </w:r>
      <w:r>
        <w:rPr>
          <w:i/>
          <w:sz w:val="20"/>
        </w:rPr>
        <w:t xml:space="preserve">Good to Great </w:t>
      </w:r>
      <w:r>
        <w:rPr>
          <w:sz w:val="20"/>
        </w:rPr>
        <w:t>provides no evidence that applying the five p</w:t>
      </w:r>
      <w:r>
        <w:rPr>
          <w:sz w:val="20"/>
        </w:rPr>
        <w:t xml:space="preserve">rinciples to other firms or time periods will lead to anything other than average results. We explain the two errors and empirically test our contention. When ranked with the 2006 Fortune 500, the 11 </w:t>
      </w:r>
      <w:r>
        <w:rPr>
          <w:i/>
          <w:sz w:val="20"/>
        </w:rPr>
        <w:t xml:space="preserve">Good to Great </w:t>
      </w:r>
      <w:r>
        <w:rPr>
          <w:sz w:val="20"/>
        </w:rPr>
        <w:t>firms have an average ranking of 202nd. In</w:t>
      </w:r>
      <w:r>
        <w:rPr>
          <w:sz w:val="20"/>
        </w:rPr>
        <w:t xml:space="preserve"> addition, in terms of long-term stock return performance, the </w:t>
      </w:r>
      <w:r>
        <w:rPr>
          <w:i/>
          <w:sz w:val="20"/>
        </w:rPr>
        <w:t xml:space="preserve">Good to Great </w:t>
      </w:r>
      <w:r>
        <w:rPr>
          <w:sz w:val="20"/>
        </w:rPr>
        <w:t xml:space="preserve">firms do not differ significantly from the average company on the S&amp;P 500. Our evidence is consistent with the conclusion that although the </w:t>
      </w:r>
      <w:r>
        <w:rPr>
          <w:i/>
          <w:sz w:val="20"/>
        </w:rPr>
        <w:t>Good to Great</w:t>
      </w:r>
    </w:p>
    <w:p w14:paraId="370CE64C" w14:textId="77777777" w:rsidR="00CB7A57" w:rsidRDefault="00CB7A57">
      <w:pPr>
        <w:sectPr w:rsidR="00CB7A57">
          <w:headerReference w:type="even" r:id="rId7"/>
          <w:headerReference w:type="default" r:id="rId8"/>
          <w:footerReference w:type="even" r:id="rId9"/>
          <w:footerReference w:type="default" r:id="rId10"/>
          <w:headerReference w:type="first" r:id="rId11"/>
          <w:footerReference w:type="first" r:id="rId12"/>
          <w:pgSz w:w="11880" w:h="15480"/>
          <w:pgMar w:top="1084" w:right="1605" w:bottom="988" w:left="1634" w:header="473" w:footer="720" w:gutter="0"/>
          <w:pgNumType w:start="13"/>
          <w:cols w:space="720"/>
          <w:titlePg/>
        </w:sectPr>
      </w:pPr>
    </w:p>
    <w:p w14:paraId="04EBBBDE" w14:textId="77777777" w:rsidR="00CB7A57" w:rsidRDefault="003B1641">
      <w:pPr>
        <w:spacing w:after="659" w:line="244" w:lineRule="auto"/>
        <w:ind w:left="720" w:firstLine="0"/>
      </w:pPr>
      <w:r>
        <w:rPr>
          <w:sz w:val="20"/>
        </w:rPr>
        <w:t>firms may be good, they aren’t great.</w:t>
      </w:r>
    </w:p>
    <w:p w14:paraId="6292E759" w14:textId="77777777" w:rsidR="00CB7A57" w:rsidRDefault="003B1641">
      <w:pPr>
        <w:framePr w:dropCap="drop" w:lines="3" w:wrap="around" w:vAnchor="text" w:hAnchor="text"/>
        <w:spacing w:after="0" w:line="867" w:lineRule="exact"/>
        <w:ind w:left="0" w:firstLine="0"/>
      </w:pPr>
      <w:r>
        <w:rPr>
          <w:rFonts w:ascii="Calibri" w:eastAsia="Calibri" w:hAnsi="Calibri" w:cs="Calibri"/>
          <w:position w:val="-5"/>
          <w:sz w:val="96"/>
        </w:rPr>
        <w:t>T</w:t>
      </w:r>
    </w:p>
    <w:p w14:paraId="38C227E9" w14:textId="77777777" w:rsidR="00CB7A57" w:rsidRDefault="003B1641">
      <w:r>
        <w:t xml:space="preserve">he book </w:t>
      </w:r>
      <w:r>
        <w:rPr>
          <w:i/>
        </w:rPr>
        <w:t xml:space="preserve">Good to Great </w:t>
      </w:r>
      <w:r>
        <w:t xml:space="preserve">(hereafter GTG) has attained long-running positions on the </w:t>
      </w:r>
      <w:r>
        <w:rPr>
          <w:i/>
        </w:rPr>
        <w:t>New</w:t>
      </w:r>
    </w:p>
    <w:p w14:paraId="0B81E2AD" w14:textId="77777777" w:rsidR="00CB7A57" w:rsidRDefault="003B1641">
      <w:pPr>
        <w:ind w:left="0" w:firstLine="310"/>
      </w:pPr>
      <w:r>
        <w:rPr>
          <w:i/>
        </w:rPr>
        <w:t>York Times</w:t>
      </w:r>
      <w:r>
        <w:t xml:space="preserve">, </w:t>
      </w:r>
      <w:r>
        <w:rPr>
          <w:i/>
        </w:rPr>
        <w:t xml:space="preserve">Wall Street Journal, </w:t>
      </w:r>
      <w:r>
        <w:t xml:space="preserve">and </w:t>
      </w:r>
      <w:r>
        <w:rPr>
          <w:i/>
        </w:rPr>
        <w:t xml:space="preserve">Business Week </w:t>
      </w:r>
      <w:r>
        <w:t>best-seller lists, has sold 3 million hardcover copies since publication, and has been translated into 35 languages.</w:t>
      </w:r>
      <w:r>
        <w:rPr>
          <w:vertAlign w:val="superscript"/>
        </w:rPr>
        <w:t xml:space="preserve">1 </w:t>
      </w:r>
      <w:r>
        <w:t>Since its publication, GTG has become popular worldwide not only in the boardroom, such as at Barnes-Jewish St. Peters Hospital in St. Lou</w:t>
      </w:r>
      <w:r>
        <w:t>is, but also in classrooms across the country, such as at the Wharton School at the University of Pennsylvania.</w:t>
      </w:r>
      <w:r>
        <w:rPr>
          <w:vertAlign w:val="superscript"/>
        </w:rPr>
        <w:t xml:space="preserve">2 </w:t>
      </w:r>
      <w:r>
        <w:t xml:space="preserve">GTG has also had great influence. For their 2007 Business Book of the Year Award, the </w:t>
      </w:r>
      <w:r>
        <w:rPr>
          <w:i/>
        </w:rPr>
        <w:t xml:space="preserve">Financial Times </w:t>
      </w:r>
      <w:r>
        <w:t>asked readers to choose the “best book of</w:t>
      </w:r>
      <w:r>
        <w:t xml:space="preserve"> all time” from a short list of five books. The list was created by soliciting suggestions from a variety of business executives, including GE’s Jeff Immelt and eBay’s Meg Whitman. GTG was listed as one of the top five books. The fact that GTG shares a pos</w:t>
      </w:r>
      <w:r>
        <w:t xml:space="preserve">ition on this list with Adam Smith’s </w:t>
      </w:r>
      <w:r>
        <w:rPr>
          <w:i/>
        </w:rPr>
        <w:t xml:space="preserve">Wealth of Nations </w:t>
      </w:r>
      <w:r>
        <w:t xml:space="preserve">(1776) and Peter Drucker’s </w:t>
      </w:r>
      <w:r>
        <w:rPr>
          <w:i/>
        </w:rPr>
        <w:t xml:space="preserve">The Effective Executive </w:t>
      </w:r>
      <w:r>
        <w:t>(1966) places it among the most influential business books ever written.</w:t>
      </w:r>
    </w:p>
    <w:tbl>
      <w:tblPr>
        <w:tblStyle w:val="TableGrid"/>
        <w:tblW w:w="4861" w:type="dxa"/>
        <w:tblInd w:w="0" w:type="dxa"/>
        <w:tblCellMar>
          <w:top w:w="0" w:type="dxa"/>
          <w:left w:w="0" w:type="dxa"/>
          <w:bottom w:w="0" w:type="dxa"/>
          <w:right w:w="0" w:type="dxa"/>
        </w:tblCellMar>
        <w:tblLook w:val="04A0" w:firstRow="1" w:lastRow="0" w:firstColumn="1" w:lastColumn="0" w:noHBand="0" w:noVBand="1"/>
      </w:tblPr>
      <w:tblGrid>
        <w:gridCol w:w="4861"/>
      </w:tblGrid>
      <w:tr w:rsidR="00CB7A57" w14:paraId="567F09CD" w14:textId="77777777">
        <w:trPr>
          <w:trHeight w:val="1150"/>
        </w:trPr>
        <w:tc>
          <w:tcPr>
            <w:tcW w:w="4861" w:type="dxa"/>
            <w:tcBorders>
              <w:top w:val="nil"/>
              <w:left w:val="nil"/>
              <w:bottom w:val="nil"/>
              <w:right w:val="nil"/>
            </w:tcBorders>
            <w:vAlign w:val="bottom"/>
          </w:tcPr>
          <w:p w14:paraId="10E1AFD6" w14:textId="77777777" w:rsidR="00CB7A57" w:rsidRDefault="003B1641">
            <w:pPr>
              <w:spacing w:after="118" w:line="259" w:lineRule="auto"/>
              <w:ind w:left="0" w:firstLine="0"/>
              <w:jc w:val="left"/>
            </w:pPr>
            <w:r>
              <w:rPr>
                <w:rFonts w:ascii="Calibri" w:eastAsia="Calibri" w:hAnsi="Calibri" w:cs="Calibri"/>
                <w:noProof/>
                <w:color w:val="000000"/>
                <w:sz w:val="22"/>
              </w:rPr>
              <mc:AlternateContent>
                <mc:Choice Requires="wpg">
                  <w:drawing>
                    <wp:inline distT="0" distB="0" distL="0" distR="0" wp14:anchorId="7B0B93EA" wp14:editId="06367538">
                      <wp:extent cx="914400" cy="3785"/>
                      <wp:effectExtent l="0" t="0" r="0" b="0"/>
                      <wp:docPr id="13678" name="Group 13678"/>
                      <wp:cNvGraphicFramePr/>
                      <a:graphic xmlns:a="http://schemas.openxmlformats.org/drawingml/2006/main">
                        <a:graphicData uri="http://schemas.microsoft.com/office/word/2010/wordprocessingGroup">
                          <wpg:wgp>
                            <wpg:cNvGrpSpPr/>
                            <wpg:grpSpPr>
                              <a:xfrm>
                                <a:off x="0" y="0"/>
                                <a:ext cx="914400" cy="3785"/>
                                <a:chOff x="0" y="0"/>
                                <a:chExt cx="914400" cy="3785"/>
                              </a:xfrm>
                            </wpg:grpSpPr>
                            <wps:wsp>
                              <wps:cNvPr id="101" name="Shape 101"/>
                              <wps:cNvSpPr/>
                              <wps:spPr>
                                <a:xfrm>
                                  <a:off x="0" y="0"/>
                                  <a:ext cx="914400" cy="0"/>
                                </a:xfrm>
                                <a:custGeom>
                                  <a:avLst/>
                                  <a:gdLst/>
                                  <a:ahLst/>
                                  <a:cxnLst/>
                                  <a:rect l="0" t="0" r="0" b="0"/>
                                  <a:pathLst>
                                    <a:path w="914400">
                                      <a:moveTo>
                                        <a:pt x="0" y="0"/>
                                      </a:moveTo>
                                      <a:lnTo>
                                        <a:pt x="914400" y="0"/>
                                      </a:lnTo>
                                    </a:path>
                                  </a:pathLst>
                                </a:custGeom>
                                <a:ln w="378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78" style="width:72pt;height:0.298pt;mso-position-horizontal-relative:char;mso-position-vertical-relative:line" coordsize="9144,37">
                      <v:shape id="Shape 101" style="position:absolute;width:9144;height:0;left:0;top:0;" coordsize="914400,0" path="m0,0l914400,0">
                        <v:stroke weight="0.298pt" endcap="flat" joinstyle="miter" miterlimit="10" on="true" color="#181717"/>
                        <v:fill on="false" color="#000000" opacity="0"/>
                      </v:shape>
                    </v:group>
                  </w:pict>
                </mc:Fallback>
              </mc:AlternateContent>
            </w:r>
          </w:p>
          <w:p w14:paraId="3D2365EE" w14:textId="77777777" w:rsidR="00CB7A57" w:rsidRDefault="003B1641">
            <w:pPr>
              <w:spacing w:after="0" w:line="235" w:lineRule="auto"/>
              <w:ind w:left="0" w:firstLine="280"/>
            </w:pPr>
            <w:r>
              <w:rPr>
                <w:sz w:val="16"/>
              </w:rPr>
              <w:t>We thank Peter Cappelli, an anonymous reviewer, and Barbara Rau for their h</w:t>
            </w:r>
            <w:r>
              <w:rPr>
                <w:sz w:val="16"/>
              </w:rPr>
              <w:t xml:space="preserve">elpful comments. </w:t>
            </w:r>
            <w:r>
              <w:rPr>
                <w:sz w:val="10"/>
              </w:rPr>
              <w:t xml:space="preserve">1 </w:t>
            </w:r>
            <w:r>
              <w:rPr>
                <w:sz w:val="16"/>
              </w:rPr>
              <w:t>http://www.jimcollins.com/bio/index.html.</w:t>
            </w:r>
          </w:p>
          <w:p w14:paraId="120A365A" w14:textId="77777777" w:rsidR="00CB7A57" w:rsidRDefault="003B1641">
            <w:pPr>
              <w:spacing w:after="0" w:line="259" w:lineRule="auto"/>
              <w:ind w:left="280" w:firstLine="0"/>
              <w:jc w:val="left"/>
            </w:pPr>
            <w:r>
              <w:rPr>
                <w:sz w:val="10"/>
              </w:rPr>
              <w:t>2</w:t>
            </w:r>
          </w:p>
          <w:p w14:paraId="2CD3DAD6" w14:textId="77777777" w:rsidR="00CB7A57" w:rsidRDefault="003B1641">
            <w:pPr>
              <w:spacing w:after="0" w:line="259" w:lineRule="auto"/>
              <w:ind w:left="0" w:firstLine="380"/>
            </w:pPr>
            <w:r>
              <w:rPr>
                <w:sz w:val="16"/>
              </w:rPr>
              <w:t>See “Good to Great, a B-School Staple,” Businessweek Online, January 19, 2006.</w:t>
            </w:r>
          </w:p>
        </w:tc>
      </w:tr>
    </w:tbl>
    <w:p w14:paraId="62A7D0F1" w14:textId="77777777" w:rsidR="00CB7A57" w:rsidRDefault="003B1641">
      <w:pPr>
        <w:spacing w:after="141"/>
        <w:ind w:left="0" w:firstLine="1407"/>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23B8689" wp14:editId="70A52184">
                <wp:simplePos x="0" y="0"/>
                <wp:positionH relativeFrom="column">
                  <wp:posOffset>-34927</wp:posOffset>
                </wp:positionH>
                <wp:positionV relativeFrom="paragraph">
                  <wp:posOffset>148829</wp:posOffset>
                </wp:positionV>
                <wp:extent cx="135331" cy="657758"/>
                <wp:effectExtent l="0" t="0" r="0" b="0"/>
                <wp:wrapSquare wrapText="bothSides"/>
                <wp:docPr id="17987" name="Group 17987"/>
                <wp:cNvGraphicFramePr/>
                <a:graphic xmlns:a="http://schemas.openxmlformats.org/drawingml/2006/main">
                  <a:graphicData uri="http://schemas.microsoft.com/office/word/2010/wordprocessingGroup">
                    <wpg:wgp>
                      <wpg:cNvGrpSpPr/>
                      <wpg:grpSpPr>
                        <a:xfrm>
                          <a:off x="0" y="0"/>
                          <a:ext cx="135331" cy="657758"/>
                          <a:chOff x="0" y="0"/>
                          <a:chExt cx="135331" cy="657758"/>
                        </a:xfrm>
                      </wpg:grpSpPr>
                      <wps:wsp>
                        <wps:cNvPr id="74" name="Rectangle 74"/>
                        <wps:cNvSpPr/>
                        <wps:spPr>
                          <a:xfrm>
                            <a:off x="0" y="0"/>
                            <a:ext cx="179991" cy="874819"/>
                          </a:xfrm>
                          <a:prstGeom prst="rect">
                            <a:avLst/>
                          </a:prstGeom>
                          <a:ln>
                            <a:noFill/>
                          </a:ln>
                        </wps:spPr>
                        <wps:txbx>
                          <w:txbxContent>
                            <w:p w14:paraId="003C88F7" w14:textId="77777777" w:rsidR="00CB7A57" w:rsidRDefault="003B1641">
                              <w:pPr>
                                <w:spacing w:after="160" w:line="259" w:lineRule="auto"/>
                                <w:ind w:left="0" w:firstLine="0"/>
                                <w:jc w:val="left"/>
                              </w:pPr>
                              <w:r>
                                <w:rPr>
                                  <w:rFonts w:ascii="Calibri" w:eastAsia="Calibri" w:hAnsi="Calibri" w:cs="Calibri"/>
                                  <w:w w:val="90"/>
                                  <w:sz w:val="96"/>
                                </w:rPr>
                                <w:t>I</w:t>
                              </w:r>
                            </w:p>
                          </w:txbxContent>
                        </wps:txbx>
                        <wps:bodyPr horzOverflow="overflow" vert="horz" lIns="0" tIns="0" rIns="0" bIns="0" rtlCol="0">
                          <a:noAutofit/>
                        </wps:bodyPr>
                      </wps:wsp>
                    </wpg:wgp>
                  </a:graphicData>
                </a:graphic>
              </wp:anchor>
            </w:drawing>
          </mc:Choice>
          <mc:Fallback xmlns:a="http://schemas.openxmlformats.org/drawingml/2006/main">
            <w:pict>
              <v:group id="Group 17987" style="width:10.656pt;height:51.792pt;position:absolute;mso-position-horizontal-relative:text;mso-position-horizontal:absolute;margin-left:-2.75024pt;mso-position-vertical-relative:text;margin-top:11.7188pt;" coordsize="1353,6577">
                <v:rect id="Rectangle 74" style="position:absolute;width:1799;height:8748;left:0;top:0;" filled="f" stroked="f">
                  <v:textbox inset="0,0,0,0">
                    <w:txbxContent>
                      <w:p>
                        <w:pPr>
                          <w:spacing w:before="0" w:after="160" w:line="259" w:lineRule="auto"/>
                          <w:ind w:left="0" w:firstLine="0"/>
                          <w:jc w:val="left"/>
                        </w:pPr>
                        <w:r>
                          <w:rPr>
                            <w:rFonts w:cs="Calibri" w:hAnsi="Calibri" w:eastAsia="Calibri" w:ascii="Calibri"/>
                            <w:w w:val="90"/>
                            <w:sz w:val="96"/>
                          </w:rPr>
                          <w:t xml:space="preserve">I</w:t>
                        </w:r>
                      </w:p>
                    </w:txbxContent>
                  </v:textbox>
                </v:rect>
                <w10:wrap type="square"/>
              </v:group>
            </w:pict>
          </mc:Fallback>
        </mc:AlternateContent>
      </w:r>
      <w:r>
        <w:rPr>
          <w:rFonts w:ascii="Calibri" w:eastAsia="Calibri" w:hAnsi="Calibri" w:cs="Calibri"/>
          <w:b/>
        </w:rPr>
        <w:t xml:space="preserve">WhatCollinsDid </w:t>
      </w:r>
      <w:r>
        <w:t>n GTG, author Jim Collins (2001) and his 21person research team used a set of screens to sift through 1,435 companies and identify a list of 11 elite firms that “made the leap” to business greatness. In addition to screening for high stock returns, they sc</w:t>
      </w:r>
      <w:r>
        <w:t>reened for firms they felt outperformed their industries, were well established, and were still on an upward trend 15 years after they made their transition to greatness. The 11 companies were:</w:t>
      </w:r>
    </w:p>
    <w:p w14:paraId="5B0794BA" w14:textId="77777777" w:rsidR="00CB7A57" w:rsidRDefault="003B1641">
      <w:pPr>
        <w:numPr>
          <w:ilvl w:val="0"/>
          <w:numId w:val="1"/>
        </w:numPr>
        <w:ind w:hanging="440"/>
      </w:pPr>
      <w:r>
        <w:t>Abbott Laboratories</w:t>
      </w:r>
    </w:p>
    <w:p w14:paraId="4CE181FB" w14:textId="77777777" w:rsidR="00CB7A57" w:rsidRDefault="003B1641">
      <w:pPr>
        <w:numPr>
          <w:ilvl w:val="0"/>
          <w:numId w:val="1"/>
        </w:numPr>
        <w:ind w:hanging="440"/>
      </w:pPr>
      <w:r>
        <w:t>Circuit City</w:t>
      </w:r>
    </w:p>
    <w:p w14:paraId="02444EEE" w14:textId="77777777" w:rsidR="00CB7A57" w:rsidRDefault="003B1641">
      <w:pPr>
        <w:numPr>
          <w:ilvl w:val="0"/>
          <w:numId w:val="1"/>
        </w:numPr>
        <w:ind w:hanging="440"/>
      </w:pPr>
      <w:r>
        <w:t>Fannie Mae</w:t>
      </w:r>
    </w:p>
    <w:p w14:paraId="1194C4A6" w14:textId="77777777" w:rsidR="00CB7A57" w:rsidRDefault="003B1641">
      <w:pPr>
        <w:numPr>
          <w:ilvl w:val="0"/>
          <w:numId w:val="1"/>
        </w:numPr>
        <w:ind w:hanging="440"/>
      </w:pPr>
      <w:r>
        <w:t>Gillette</w:t>
      </w:r>
    </w:p>
    <w:p w14:paraId="1348D306" w14:textId="77777777" w:rsidR="00CB7A57" w:rsidRDefault="003B1641">
      <w:pPr>
        <w:numPr>
          <w:ilvl w:val="0"/>
          <w:numId w:val="1"/>
        </w:numPr>
        <w:ind w:hanging="440"/>
      </w:pPr>
      <w:r>
        <w:t>Kimberly-</w:t>
      </w:r>
      <w:r>
        <w:t>Clark</w:t>
      </w:r>
    </w:p>
    <w:p w14:paraId="6BD458EE" w14:textId="77777777" w:rsidR="00CB7A57" w:rsidRDefault="003B1641">
      <w:pPr>
        <w:numPr>
          <w:ilvl w:val="0"/>
          <w:numId w:val="1"/>
        </w:numPr>
        <w:ind w:hanging="440"/>
      </w:pPr>
      <w:r>
        <w:t>Kroger</w:t>
      </w:r>
    </w:p>
    <w:p w14:paraId="4C6494CD" w14:textId="77777777" w:rsidR="00CB7A57" w:rsidRDefault="003B1641">
      <w:pPr>
        <w:numPr>
          <w:ilvl w:val="0"/>
          <w:numId w:val="1"/>
        </w:numPr>
        <w:ind w:hanging="440"/>
      </w:pPr>
      <w:r>
        <w:t>Nucor</w:t>
      </w:r>
    </w:p>
    <w:p w14:paraId="49AD5D81" w14:textId="77777777" w:rsidR="00CB7A57" w:rsidRDefault="003B1641">
      <w:pPr>
        <w:numPr>
          <w:ilvl w:val="0"/>
          <w:numId w:val="1"/>
        </w:numPr>
        <w:ind w:hanging="440"/>
      </w:pPr>
      <w:r>
        <w:t>Philip Morris (now Altria)</w:t>
      </w:r>
    </w:p>
    <w:p w14:paraId="1AE90052" w14:textId="77777777" w:rsidR="00CB7A57" w:rsidRDefault="003B1641">
      <w:pPr>
        <w:numPr>
          <w:ilvl w:val="0"/>
          <w:numId w:val="1"/>
        </w:numPr>
        <w:ind w:hanging="440"/>
      </w:pPr>
      <w:r>
        <w:t>Pitney Bowes</w:t>
      </w:r>
    </w:p>
    <w:p w14:paraId="77BE1730" w14:textId="77777777" w:rsidR="00CB7A57" w:rsidRDefault="003B1641">
      <w:pPr>
        <w:numPr>
          <w:ilvl w:val="0"/>
          <w:numId w:val="1"/>
        </w:numPr>
        <w:ind w:hanging="440"/>
      </w:pPr>
      <w:r>
        <w:t>Walgreens</w:t>
      </w:r>
    </w:p>
    <w:p w14:paraId="528C7EA1" w14:textId="77777777" w:rsidR="00CB7A57" w:rsidRDefault="003B1641">
      <w:pPr>
        <w:numPr>
          <w:ilvl w:val="0"/>
          <w:numId w:val="1"/>
        </w:numPr>
        <w:spacing w:after="138"/>
        <w:ind w:hanging="440"/>
      </w:pPr>
      <w:r>
        <w:t>Wells Fargo</w:t>
      </w:r>
    </w:p>
    <w:tbl>
      <w:tblPr>
        <w:tblStyle w:val="TableGrid"/>
        <w:tblpPr w:vertAnchor="text" w:horzAnchor="margin" w:tblpY="1605"/>
        <w:tblOverlap w:val="never"/>
        <w:tblW w:w="10081" w:type="dxa"/>
        <w:tblInd w:w="0" w:type="dxa"/>
        <w:tblCellMar>
          <w:top w:w="11" w:type="dxa"/>
          <w:left w:w="0" w:type="dxa"/>
          <w:bottom w:w="0" w:type="dxa"/>
          <w:right w:w="0" w:type="dxa"/>
        </w:tblCellMar>
        <w:tblLook w:val="04A0" w:firstRow="1" w:lastRow="0" w:firstColumn="1" w:lastColumn="0" w:noHBand="0" w:noVBand="1"/>
      </w:tblPr>
      <w:tblGrid>
        <w:gridCol w:w="10081"/>
      </w:tblGrid>
      <w:tr w:rsidR="00CB7A57" w14:paraId="73398508" w14:textId="77777777">
        <w:trPr>
          <w:trHeight w:val="1060"/>
        </w:trPr>
        <w:tc>
          <w:tcPr>
            <w:tcW w:w="10085" w:type="dxa"/>
            <w:tcBorders>
              <w:top w:val="nil"/>
              <w:left w:val="nil"/>
              <w:bottom w:val="nil"/>
              <w:right w:val="nil"/>
            </w:tcBorders>
          </w:tcPr>
          <w:p w14:paraId="72E2B96E" w14:textId="77777777" w:rsidR="00CB7A57" w:rsidRDefault="003B1641">
            <w:pPr>
              <w:spacing w:after="319" w:line="265" w:lineRule="auto"/>
              <w:ind w:left="0" w:right="1482" w:firstLine="0"/>
              <w:jc w:val="left"/>
            </w:pPr>
            <w:r>
              <w:rPr>
                <w:rFonts w:ascii="Calibri" w:eastAsia="Calibri" w:hAnsi="Calibri" w:cs="Calibri"/>
                <w:b/>
                <w:i/>
                <w:sz w:val="16"/>
              </w:rPr>
              <w:t xml:space="preserve">*Bruce Niendorf </w:t>
            </w:r>
            <w:r>
              <w:rPr>
                <w:rFonts w:ascii="Calibri" w:eastAsia="Calibri" w:hAnsi="Calibri" w:cs="Calibri"/>
                <w:i/>
                <w:sz w:val="16"/>
              </w:rPr>
              <w:t xml:space="preserve">(niendorf@uwosh.edu) is Associate Professor of Finance, University of Wisconsin Oshkosh. </w:t>
            </w:r>
            <w:r>
              <w:rPr>
                <w:rFonts w:ascii="Calibri" w:eastAsia="Calibri" w:hAnsi="Calibri" w:cs="Calibri"/>
                <w:b/>
                <w:i/>
                <w:sz w:val="16"/>
              </w:rPr>
              <w:t xml:space="preserve">Kristine Beck </w:t>
            </w:r>
            <w:r>
              <w:rPr>
                <w:rFonts w:ascii="Calibri" w:eastAsia="Calibri" w:hAnsi="Calibri" w:cs="Calibri"/>
                <w:i/>
                <w:sz w:val="16"/>
              </w:rPr>
              <w:t>(beck@uwosh.edu) is Associate Professor of Finance, University of Wisconsin Oshkosh.</w:t>
            </w:r>
          </w:p>
          <w:p w14:paraId="7EF0B415" w14:textId="77777777" w:rsidR="00CB7A57" w:rsidRDefault="003B1641">
            <w:pPr>
              <w:spacing w:after="0" w:line="259" w:lineRule="auto"/>
              <w:ind w:left="0" w:right="-4" w:firstLine="0"/>
            </w:pPr>
            <w:r>
              <w:rPr>
                <w:rFonts w:ascii="Calibri" w:eastAsia="Calibri" w:hAnsi="Calibri" w:cs="Calibri"/>
                <w:sz w:val="16"/>
              </w:rPr>
              <w:t>Copyright by the Academy of Management; all rights reserved. Content</w:t>
            </w:r>
            <w:r>
              <w:rPr>
                <w:rFonts w:ascii="Calibri" w:eastAsia="Calibri" w:hAnsi="Calibri" w:cs="Calibri"/>
                <w:sz w:val="16"/>
              </w:rPr>
              <w:t>s may not be copied, e-mailed, posted to a listserv, or otherwise transmitted without the copyright holder’s express written permission. Users may print, download, or e-mail articles for individual use only.</w:t>
            </w:r>
          </w:p>
        </w:tc>
      </w:tr>
    </w:tbl>
    <w:p w14:paraId="00B18A68" w14:textId="77777777" w:rsidR="00CB7A57" w:rsidRDefault="003B1641">
      <w:r>
        <w:lastRenderedPageBreak/>
        <w:t>After identifying these 11 firms, Collins’ next step was to contrast them with a set of comparison firms he felt had failed to make the leap from good to great. By identifying characteristics common to the great firms, but lacking in the failed firms,</w:t>
      </w:r>
    </w:p>
    <w:p w14:paraId="36176D0E" w14:textId="77777777" w:rsidR="00CB7A57" w:rsidRDefault="003B1641">
      <w:pPr>
        <w:pStyle w:val="2"/>
        <w:spacing w:after="0"/>
        <w:ind w:left="-5"/>
      </w:pPr>
      <w:r>
        <w:t>Tabl</w:t>
      </w:r>
      <w:r>
        <w:t>e1 CommonalitiesFoundbyCollinsinthe11</w:t>
      </w:r>
      <w:r>
        <w:rPr>
          <w:i/>
        </w:rPr>
        <w:t>Goodto Great</w:t>
      </w:r>
      <w:r>
        <w:t>Firms</w:t>
      </w:r>
    </w:p>
    <w:tbl>
      <w:tblPr>
        <w:tblStyle w:val="TableGrid"/>
        <w:tblW w:w="4848" w:type="dxa"/>
        <w:tblInd w:w="5" w:type="dxa"/>
        <w:tblCellMar>
          <w:top w:w="59" w:type="dxa"/>
          <w:left w:w="5" w:type="dxa"/>
          <w:bottom w:w="0" w:type="dxa"/>
          <w:right w:w="115" w:type="dxa"/>
        </w:tblCellMar>
        <w:tblLook w:val="04A0" w:firstRow="1" w:lastRow="0" w:firstColumn="1" w:lastColumn="0" w:noHBand="0" w:noVBand="1"/>
      </w:tblPr>
      <w:tblGrid>
        <w:gridCol w:w="4848"/>
      </w:tblGrid>
      <w:tr w:rsidR="00CB7A57" w14:paraId="3F3F7689" w14:textId="77777777">
        <w:trPr>
          <w:trHeight w:val="290"/>
        </w:trPr>
        <w:tc>
          <w:tcPr>
            <w:tcW w:w="4848" w:type="dxa"/>
            <w:tcBorders>
              <w:top w:val="single" w:sz="4" w:space="0" w:color="181717"/>
              <w:left w:val="single" w:sz="4" w:space="0" w:color="181717"/>
              <w:bottom w:val="single" w:sz="4" w:space="0" w:color="181717"/>
              <w:right w:val="single" w:sz="6" w:space="0" w:color="181717"/>
            </w:tcBorders>
          </w:tcPr>
          <w:p w14:paraId="3BBF918C" w14:textId="77777777" w:rsidR="00CB7A57" w:rsidRDefault="003B1641">
            <w:pPr>
              <w:spacing w:after="0" w:line="259" w:lineRule="auto"/>
              <w:ind w:left="0" w:firstLine="0"/>
              <w:jc w:val="left"/>
            </w:pPr>
            <w:r>
              <w:rPr>
                <w:rFonts w:ascii="Calibri" w:eastAsia="Calibri" w:hAnsi="Calibri" w:cs="Calibri"/>
                <w:sz w:val="20"/>
              </w:rPr>
              <w:t>● Level Five Leadership</w:t>
            </w:r>
          </w:p>
        </w:tc>
      </w:tr>
      <w:tr w:rsidR="00CB7A57" w14:paraId="7603E7B4" w14:textId="77777777">
        <w:trPr>
          <w:trHeight w:val="290"/>
        </w:trPr>
        <w:tc>
          <w:tcPr>
            <w:tcW w:w="4848" w:type="dxa"/>
            <w:tcBorders>
              <w:top w:val="single" w:sz="4" w:space="0" w:color="181717"/>
              <w:left w:val="single" w:sz="4" w:space="0" w:color="181717"/>
              <w:bottom w:val="single" w:sz="4" w:space="0" w:color="181717"/>
              <w:right w:val="single" w:sz="6" w:space="0" w:color="181717"/>
            </w:tcBorders>
          </w:tcPr>
          <w:p w14:paraId="00B334F9" w14:textId="77777777" w:rsidR="00CB7A57" w:rsidRDefault="003B1641">
            <w:pPr>
              <w:spacing w:after="0" w:line="259" w:lineRule="auto"/>
              <w:ind w:left="200" w:firstLine="0"/>
              <w:jc w:val="left"/>
            </w:pPr>
            <w:r>
              <w:rPr>
                <w:rFonts w:ascii="Calibri" w:eastAsia="Calibri" w:hAnsi="Calibri" w:cs="Calibri"/>
                <w:sz w:val="20"/>
              </w:rPr>
              <w:t xml:space="preserve"> Leaders focus on the firm rather than themselves</w:t>
            </w:r>
          </w:p>
        </w:tc>
      </w:tr>
      <w:tr w:rsidR="00CB7A57" w14:paraId="4C9EE878" w14:textId="77777777">
        <w:trPr>
          <w:trHeight w:val="290"/>
        </w:trPr>
        <w:tc>
          <w:tcPr>
            <w:tcW w:w="4848" w:type="dxa"/>
            <w:tcBorders>
              <w:top w:val="single" w:sz="4" w:space="0" w:color="181717"/>
              <w:left w:val="single" w:sz="4" w:space="0" w:color="181717"/>
              <w:bottom w:val="single" w:sz="4" w:space="0" w:color="181717"/>
              <w:right w:val="single" w:sz="6" w:space="0" w:color="181717"/>
            </w:tcBorders>
          </w:tcPr>
          <w:p w14:paraId="0EDCEDE3" w14:textId="77777777" w:rsidR="00CB7A57" w:rsidRDefault="003B1641">
            <w:pPr>
              <w:spacing w:after="0" w:line="259" w:lineRule="auto"/>
              <w:ind w:left="0" w:firstLine="0"/>
              <w:jc w:val="left"/>
            </w:pPr>
            <w:r>
              <w:rPr>
                <w:rFonts w:ascii="Calibri" w:eastAsia="Calibri" w:hAnsi="Calibri" w:cs="Calibri"/>
                <w:sz w:val="20"/>
              </w:rPr>
              <w:t>● First Who, Then What</w:t>
            </w:r>
          </w:p>
        </w:tc>
      </w:tr>
      <w:tr w:rsidR="00CB7A57" w14:paraId="19F568C4" w14:textId="77777777">
        <w:trPr>
          <w:trHeight w:val="290"/>
        </w:trPr>
        <w:tc>
          <w:tcPr>
            <w:tcW w:w="4848" w:type="dxa"/>
            <w:tcBorders>
              <w:top w:val="single" w:sz="4" w:space="0" w:color="181717"/>
              <w:left w:val="single" w:sz="4" w:space="0" w:color="181717"/>
              <w:bottom w:val="single" w:sz="4" w:space="0" w:color="181717"/>
              <w:right w:val="single" w:sz="6" w:space="0" w:color="181717"/>
            </w:tcBorders>
          </w:tcPr>
          <w:p w14:paraId="0749169E" w14:textId="77777777" w:rsidR="00CB7A57" w:rsidRDefault="003B1641">
            <w:pPr>
              <w:spacing w:after="0" w:line="259" w:lineRule="auto"/>
              <w:ind w:left="200" w:firstLine="0"/>
              <w:jc w:val="left"/>
            </w:pPr>
            <w:r>
              <w:rPr>
                <w:rFonts w:ascii="Calibri" w:eastAsia="Calibri" w:hAnsi="Calibri" w:cs="Calibri"/>
                <w:sz w:val="20"/>
              </w:rPr>
              <w:t xml:space="preserve"> </w:t>
            </w:r>
            <w:r>
              <w:rPr>
                <w:rFonts w:ascii="Calibri" w:eastAsia="Calibri" w:hAnsi="Calibri" w:cs="Calibri"/>
                <w:sz w:val="20"/>
              </w:rPr>
              <w:t>“Get the right people on the bus before you decide where to drive it”</w:t>
            </w:r>
          </w:p>
        </w:tc>
      </w:tr>
      <w:tr w:rsidR="00CB7A57" w14:paraId="63F60451" w14:textId="77777777">
        <w:trPr>
          <w:trHeight w:val="290"/>
        </w:trPr>
        <w:tc>
          <w:tcPr>
            <w:tcW w:w="4848" w:type="dxa"/>
            <w:tcBorders>
              <w:top w:val="single" w:sz="4" w:space="0" w:color="181717"/>
              <w:left w:val="single" w:sz="4" w:space="0" w:color="181717"/>
              <w:bottom w:val="single" w:sz="4" w:space="0" w:color="181717"/>
              <w:right w:val="single" w:sz="6" w:space="0" w:color="181717"/>
            </w:tcBorders>
          </w:tcPr>
          <w:p w14:paraId="76C0F7F9" w14:textId="77777777" w:rsidR="00CB7A57" w:rsidRDefault="003B1641">
            <w:pPr>
              <w:spacing w:after="0" w:line="259" w:lineRule="auto"/>
              <w:ind w:left="0" w:firstLine="0"/>
              <w:jc w:val="left"/>
            </w:pPr>
            <w:r>
              <w:rPr>
                <w:rFonts w:ascii="Calibri" w:eastAsia="Calibri" w:hAnsi="Calibri" w:cs="Calibri"/>
                <w:sz w:val="20"/>
              </w:rPr>
              <w:t>● Confront the Brutal Facts</w:t>
            </w:r>
          </w:p>
        </w:tc>
      </w:tr>
      <w:tr w:rsidR="00CB7A57" w14:paraId="41C4D027" w14:textId="77777777">
        <w:trPr>
          <w:trHeight w:val="290"/>
        </w:trPr>
        <w:tc>
          <w:tcPr>
            <w:tcW w:w="4848" w:type="dxa"/>
            <w:tcBorders>
              <w:top w:val="single" w:sz="4" w:space="0" w:color="181717"/>
              <w:left w:val="single" w:sz="4" w:space="0" w:color="181717"/>
              <w:bottom w:val="single" w:sz="4" w:space="0" w:color="181717"/>
              <w:right w:val="single" w:sz="6" w:space="0" w:color="181717"/>
            </w:tcBorders>
          </w:tcPr>
          <w:p w14:paraId="701070D0" w14:textId="77777777" w:rsidR="00CB7A57" w:rsidRDefault="003B1641">
            <w:pPr>
              <w:spacing w:after="0" w:line="259" w:lineRule="auto"/>
              <w:ind w:left="200" w:firstLine="0"/>
              <w:jc w:val="left"/>
            </w:pPr>
            <w:r>
              <w:rPr>
                <w:rFonts w:ascii="Calibri" w:eastAsia="Calibri" w:hAnsi="Calibri" w:cs="Calibri"/>
                <w:sz w:val="20"/>
              </w:rPr>
              <w:t xml:space="preserve"> Cannot make good decisions without knowing the facts</w:t>
            </w:r>
          </w:p>
        </w:tc>
      </w:tr>
      <w:tr w:rsidR="00CB7A57" w14:paraId="563EB0B6" w14:textId="77777777">
        <w:trPr>
          <w:trHeight w:val="290"/>
        </w:trPr>
        <w:tc>
          <w:tcPr>
            <w:tcW w:w="4848" w:type="dxa"/>
            <w:tcBorders>
              <w:top w:val="single" w:sz="4" w:space="0" w:color="181717"/>
              <w:left w:val="single" w:sz="4" w:space="0" w:color="181717"/>
              <w:bottom w:val="single" w:sz="4" w:space="0" w:color="181717"/>
              <w:right w:val="single" w:sz="6" w:space="0" w:color="181717"/>
            </w:tcBorders>
          </w:tcPr>
          <w:p w14:paraId="367233EC" w14:textId="77777777" w:rsidR="00CB7A57" w:rsidRDefault="003B1641">
            <w:pPr>
              <w:spacing w:after="0" w:line="259" w:lineRule="auto"/>
              <w:ind w:left="0" w:firstLine="0"/>
              <w:jc w:val="left"/>
            </w:pPr>
            <w:r>
              <w:rPr>
                <w:rFonts w:ascii="Calibri" w:eastAsia="Calibri" w:hAnsi="Calibri" w:cs="Calibri"/>
                <w:sz w:val="20"/>
              </w:rPr>
              <w:t>● Hedgehog Concept</w:t>
            </w:r>
          </w:p>
        </w:tc>
      </w:tr>
      <w:tr w:rsidR="00CB7A57" w14:paraId="3D952F85" w14:textId="77777777">
        <w:trPr>
          <w:trHeight w:val="290"/>
        </w:trPr>
        <w:tc>
          <w:tcPr>
            <w:tcW w:w="4848" w:type="dxa"/>
            <w:tcBorders>
              <w:top w:val="single" w:sz="4" w:space="0" w:color="181717"/>
              <w:left w:val="single" w:sz="4" w:space="0" w:color="181717"/>
              <w:bottom w:val="single" w:sz="4" w:space="0" w:color="181717"/>
              <w:right w:val="single" w:sz="6" w:space="0" w:color="181717"/>
            </w:tcBorders>
          </w:tcPr>
          <w:p w14:paraId="3E0E1700" w14:textId="77777777" w:rsidR="00CB7A57" w:rsidRDefault="003B1641">
            <w:pPr>
              <w:spacing w:after="0" w:line="259" w:lineRule="auto"/>
              <w:ind w:left="200" w:firstLine="0"/>
              <w:jc w:val="left"/>
            </w:pPr>
            <w:r>
              <w:rPr>
                <w:rFonts w:ascii="Calibri" w:eastAsia="Calibri" w:hAnsi="Calibri" w:cs="Calibri"/>
                <w:sz w:val="20"/>
              </w:rPr>
              <w:t xml:space="preserve"> Know one thing rather than trying to know many things</w:t>
            </w:r>
          </w:p>
        </w:tc>
      </w:tr>
      <w:tr w:rsidR="00CB7A57" w14:paraId="61DF6672" w14:textId="77777777">
        <w:trPr>
          <w:trHeight w:val="290"/>
        </w:trPr>
        <w:tc>
          <w:tcPr>
            <w:tcW w:w="4848" w:type="dxa"/>
            <w:tcBorders>
              <w:top w:val="single" w:sz="4" w:space="0" w:color="181717"/>
              <w:left w:val="single" w:sz="4" w:space="0" w:color="181717"/>
              <w:bottom w:val="single" w:sz="4" w:space="0" w:color="181717"/>
              <w:right w:val="single" w:sz="6" w:space="0" w:color="181717"/>
            </w:tcBorders>
          </w:tcPr>
          <w:p w14:paraId="1F4CD6F6" w14:textId="77777777" w:rsidR="00CB7A57" w:rsidRDefault="003B1641">
            <w:pPr>
              <w:spacing w:after="0" w:line="259" w:lineRule="auto"/>
              <w:ind w:left="0" w:firstLine="0"/>
              <w:jc w:val="left"/>
            </w:pPr>
            <w:r>
              <w:rPr>
                <w:rFonts w:ascii="Calibri" w:eastAsia="Calibri" w:hAnsi="Calibri" w:cs="Calibri"/>
                <w:sz w:val="20"/>
              </w:rPr>
              <w:t>● Build Your Company’s Vi</w:t>
            </w:r>
            <w:r>
              <w:rPr>
                <w:rFonts w:ascii="Calibri" w:eastAsia="Calibri" w:hAnsi="Calibri" w:cs="Calibri"/>
                <w:sz w:val="20"/>
              </w:rPr>
              <w:t>sion</w:t>
            </w:r>
          </w:p>
        </w:tc>
      </w:tr>
      <w:tr w:rsidR="00CB7A57" w14:paraId="472B3807" w14:textId="77777777">
        <w:trPr>
          <w:trHeight w:val="530"/>
        </w:trPr>
        <w:tc>
          <w:tcPr>
            <w:tcW w:w="4848" w:type="dxa"/>
            <w:tcBorders>
              <w:top w:val="single" w:sz="4" w:space="0" w:color="181717"/>
              <w:left w:val="single" w:sz="4" w:space="0" w:color="181717"/>
              <w:bottom w:val="single" w:sz="4" w:space="0" w:color="181717"/>
              <w:right w:val="single" w:sz="6" w:space="0" w:color="181717"/>
            </w:tcBorders>
          </w:tcPr>
          <w:p w14:paraId="5269FD67" w14:textId="77777777" w:rsidR="00CB7A57" w:rsidRDefault="003B1641">
            <w:pPr>
              <w:spacing w:after="0" w:line="259" w:lineRule="auto"/>
              <w:ind w:left="360" w:hanging="160"/>
              <w:jc w:val="left"/>
            </w:pPr>
            <w:r>
              <w:rPr>
                <w:rFonts w:ascii="Calibri" w:eastAsia="Calibri" w:hAnsi="Calibri" w:cs="Calibri"/>
                <w:sz w:val="20"/>
              </w:rPr>
              <w:t xml:space="preserve"> Preserve core values but be willing to change operating practices and business strategies</w:t>
            </w:r>
          </w:p>
        </w:tc>
      </w:tr>
    </w:tbl>
    <w:p w14:paraId="601135B0" w14:textId="77777777" w:rsidR="00CB7A57" w:rsidRDefault="003B1641">
      <w:pPr>
        <w:spacing w:after="292"/>
      </w:pPr>
      <w:r>
        <w:t>Collins derived the five GTG principles. Table 1 presents the GTG principles that Collins claimed would lead to “sustained great results” (p. 190).</w:t>
      </w:r>
    </w:p>
    <w:p w14:paraId="0F459647" w14:textId="77777777" w:rsidR="00CB7A57" w:rsidRDefault="003B1641">
      <w:pPr>
        <w:ind w:left="0" w:firstLine="622"/>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0A03A697" wp14:editId="491A960B">
                <wp:simplePos x="0" y="0"/>
                <wp:positionH relativeFrom="column">
                  <wp:posOffset>13</wp:posOffset>
                </wp:positionH>
                <wp:positionV relativeFrom="paragraph">
                  <wp:posOffset>148890</wp:posOffset>
                </wp:positionV>
                <wp:extent cx="360883" cy="657758"/>
                <wp:effectExtent l="0" t="0" r="0" b="0"/>
                <wp:wrapSquare wrapText="bothSides"/>
                <wp:docPr id="17988" name="Group 17988"/>
                <wp:cNvGraphicFramePr/>
                <a:graphic xmlns:a="http://schemas.openxmlformats.org/drawingml/2006/main">
                  <a:graphicData uri="http://schemas.microsoft.com/office/word/2010/wordprocessingGroup">
                    <wpg:wgp>
                      <wpg:cNvGrpSpPr/>
                      <wpg:grpSpPr>
                        <a:xfrm>
                          <a:off x="0" y="0"/>
                          <a:ext cx="360883" cy="657758"/>
                          <a:chOff x="0" y="0"/>
                          <a:chExt cx="360883" cy="657758"/>
                        </a:xfrm>
                      </wpg:grpSpPr>
                      <wps:wsp>
                        <wps:cNvPr id="157" name="Rectangle 157"/>
                        <wps:cNvSpPr/>
                        <wps:spPr>
                          <a:xfrm>
                            <a:off x="0" y="0"/>
                            <a:ext cx="479975" cy="874819"/>
                          </a:xfrm>
                          <a:prstGeom prst="rect">
                            <a:avLst/>
                          </a:prstGeom>
                          <a:ln>
                            <a:noFill/>
                          </a:ln>
                        </wps:spPr>
                        <wps:txbx>
                          <w:txbxContent>
                            <w:p w14:paraId="3667F87A" w14:textId="77777777" w:rsidR="00CB7A57" w:rsidRDefault="003B1641">
                              <w:pPr>
                                <w:spacing w:after="160" w:line="259" w:lineRule="auto"/>
                                <w:ind w:left="0" w:firstLine="0"/>
                                <w:jc w:val="left"/>
                              </w:pPr>
                              <w:r>
                                <w:rPr>
                                  <w:rFonts w:ascii="Calibri" w:eastAsia="Calibri" w:hAnsi="Calibri" w:cs="Calibri"/>
                                  <w:w w:val="67"/>
                                  <w:sz w:val="96"/>
                                </w:rPr>
                                <w:t>W</w:t>
                              </w:r>
                            </w:p>
                          </w:txbxContent>
                        </wps:txbx>
                        <wps:bodyPr horzOverflow="overflow" vert="horz" lIns="0" tIns="0" rIns="0" bIns="0" rtlCol="0">
                          <a:noAutofit/>
                        </wps:bodyPr>
                      </wps:wsp>
                    </wpg:wgp>
                  </a:graphicData>
                </a:graphic>
              </wp:anchor>
            </w:drawing>
          </mc:Choice>
          <mc:Fallback xmlns:a="http://schemas.openxmlformats.org/drawingml/2006/main">
            <w:pict>
              <v:group id="Group 17988" style="width:28.416pt;height:51.792pt;position:absolute;mso-position-horizontal-relative:text;mso-position-horizontal:absolute;margin-left:0.000991821pt;mso-position-vertical-relative:text;margin-top:11.7236pt;" coordsize="3608,6577">
                <v:rect id="Rectangle 157" style="position:absolute;width:4799;height:8748;left:0;top:0;" filled="f" stroked="f">
                  <v:textbox inset="0,0,0,0">
                    <w:txbxContent>
                      <w:p>
                        <w:pPr>
                          <w:spacing w:before="0" w:after="160" w:line="259" w:lineRule="auto"/>
                          <w:ind w:left="0" w:firstLine="0"/>
                          <w:jc w:val="left"/>
                        </w:pPr>
                        <w:r>
                          <w:rPr>
                            <w:rFonts w:cs="Calibri" w:hAnsi="Calibri" w:eastAsia="Calibri" w:ascii="Calibri"/>
                            <w:w w:val="67"/>
                            <w:sz w:val="96"/>
                          </w:rPr>
                          <w:t xml:space="preserve">W</w:t>
                        </w:r>
                      </w:p>
                    </w:txbxContent>
                  </v:textbox>
                </v:rect>
                <w10:wrap type="square"/>
              </v:group>
            </w:pict>
          </mc:Fallback>
        </mc:AlternateContent>
      </w:r>
      <w:r>
        <w:rPr>
          <w:rFonts w:ascii="Calibri" w:eastAsia="Calibri" w:hAnsi="Calibri" w:cs="Calibri"/>
          <w:b/>
        </w:rPr>
        <w:t xml:space="preserve">WhatCollinsDidWrong </w:t>
      </w:r>
      <w:r>
        <w:t>e contend that due to two fundamental research design errors, GTG does not show tha</w:t>
      </w:r>
      <w:r>
        <w:t>t the five GTG principles lead to “sustained great results,” as Collins claims. Rather, it shows only that the 11 GTG firms had these principles in common during the specific time period studied by Collins. The difference in these two conclusions is enormo</w:t>
      </w:r>
      <w:r>
        <w:t>us, and the principal implication is this: GTG provides absolutely no evidence that applying the GTG principles to other firms during other time periods will lead to anything other than average business performance. Thus, Collins has not identified “timele</w:t>
      </w:r>
      <w:r>
        <w:t>ss, universal answers that can be applied by any organization” (p. 5).</w:t>
      </w:r>
    </w:p>
    <w:p w14:paraId="7BA2E680" w14:textId="77777777" w:rsidR="00CB7A57" w:rsidRDefault="003B1641">
      <w:pPr>
        <w:ind w:left="0" w:firstLine="280"/>
      </w:pPr>
      <w:r>
        <w:t xml:space="preserve">The two fatal errors in GTG are data mining and mistaking association for causation. In this article we discuss these two errors, and then test the </w:t>
      </w:r>
      <w:r>
        <w:t>performance of the 11 GTG companies a</w:t>
      </w:r>
      <w:r>
        <w:t>fter the time period used in the GTG study. By doing so, we find evidence that addresses the generalizability of the GTG principles. Our test results provide no empirical evidence for Collins’ claims that applying the GTG concepts leads to “sustained great</w:t>
      </w:r>
      <w:r>
        <w:t xml:space="preserve"> results.” A discussion of data mining and correlation and causation, as well as a description of our empirical tests, are below. These are followed by our results.</w:t>
      </w:r>
    </w:p>
    <w:p w14:paraId="3371ABFF" w14:textId="77777777" w:rsidR="00CB7A57" w:rsidRDefault="003B1641">
      <w:pPr>
        <w:pStyle w:val="2"/>
        <w:ind w:left="-5"/>
      </w:pPr>
      <w:r>
        <w:t>DataMining</w:t>
      </w:r>
    </w:p>
    <w:p w14:paraId="2AE013E7" w14:textId="77777777" w:rsidR="00CB7A57" w:rsidRDefault="003B1641">
      <w:pPr>
        <w:spacing w:after="119"/>
      </w:pPr>
      <w:r>
        <w:t>The use of data mining is a fundamental research flaw in GTG. Data mining is the</w:t>
      </w:r>
      <w:r>
        <w:t xml:space="preserve"> process of collecting and searching for patterns in data and then once patterns are identified, formulating explanations that are treated as underlying causes or principles. The problem is that since the patterns may depend completely on the specific time</w:t>
      </w:r>
      <w:r>
        <w:t xml:space="preserve"> period and dataset gathered, data mining provides no legitimate evidence of applicability outside the sample firms or time period. This problem with data mining (also called data dredging, data grubbing, or fishing) is aptly described by Hand (1998, p. 11</w:t>
      </w:r>
      <w:r>
        <w:t>2):</w:t>
      </w:r>
    </w:p>
    <w:p w14:paraId="71685C95" w14:textId="77777777" w:rsidR="00CB7A57" w:rsidRDefault="003B1641">
      <w:pPr>
        <w:spacing w:after="187" w:line="255" w:lineRule="auto"/>
        <w:ind w:left="275" w:right="266"/>
      </w:pPr>
      <w:r>
        <w:rPr>
          <w:i/>
          <w:sz w:val="20"/>
        </w:rPr>
        <w:t>By definition, data that are not simply uniform have differences which can be interpreted as patterns. The trouble is that many of these “patterns” will simply be a product of random fluctuations, and will not represent any underlying structure. The object</w:t>
      </w:r>
      <w:r>
        <w:rPr>
          <w:i/>
          <w:sz w:val="20"/>
        </w:rPr>
        <w:t xml:space="preserve"> of data analysis is not to model the fleeting random patterns of the moment, but to model the underlying structures which give rise to consistent and replicable patterns. To statisticians, then, the term data mining conveys the sense of na¨ıve hope vainly</w:t>
      </w:r>
      <w:r>
        <w:rPr>
          <w:i/>
          <w:sz w:val="20"/>
        </w:rPr>
        <w:t xml:space="preserve"> struggling against the cold realities of chance.</w:t>
      </w:r>
    </w:p>
    <w:p w14:paraId="4BB4ADE6" w14:textId="77777777" w:rsidR="00CB7A57" w:rsidRDefault="003B1641">
      <w:r>
        <w:t>Thus, according to Hand, researchers using data mining may well draw conclusions that are based either on purely random patterns or on patterns that exist only in the sample firms or time period studied.</w:t>
      </w:r>
    </w:p>
    <w:p w14:paraId="6D802E70" w14:textId="77777777" w:rsidR="00CB7A57" w:rsidRDefault="003B1641">
      <w:pPr>
        <w:ind w:left="0" w:firstLine="280"/>
      </w:pPr>
      <w:r>
        <w:t>Collins’ method of identifying his five principles i</w:t>
      </w:r>
      <w:r>
        <w:t xml:space="preserve">n GTG is data mining. By Collins’ description, he started with a list of companies that appeared in the Fortune 500 rankings and screened them four times to arrive at the 11 GTG companies. He then studied the 11 GTG companies relative to </w:t>
      </w:r>
      <w:r>
        <w:lastRenderedPageBreak/>
        <w:t>11 comparison comp</w:t>
      </w:r>
      <w:r>
        <w:t>anies to “discover the essential and distinguishing factors at work” (p. 3). This is data mining. As Collins put it: “It is important to understand that we developed all of the concepts in this book by making empirical deductions directly from the data. We</w:t>
      </w:r>
      <w:r>
        <w:t xml:space="preserve"> did not begin this project with a theory to test or prove. We sought to build a theory from the ground up, derived directly from the evidence” (p. 10). Given the data mining methodology in GTG, Collins provided no evidence that his five principles are any</w:t>
      </w:r>
      <w:r>
        <w:t>thing other than five “fleeting random patterns.” In other words, if Collins is correct, his statistics suggest that it’s just luck. As Walker (2006) noted, this “creates a neat little circle of inference: Great firms do these things, so do these things an</w:t>
      </w:r>
      <w:r>
        <w:t>d your firm will be great” (p. 120).</w:t>
      </w:r>
    </w:p>
    <w:p w14:paraId="69826F61" w14:textId="77777777" w:rsidR="00CB7A57" w:rsidRDefault="003B1641">
      <w:pPr>
        <w:spacing w:after="189"/>
        <w:ind w:left="0" w:firstLine="280"/>
      </w:pPr>
      <w:r>
        <w:t>If used appropriately, data mining can be an extremely powerful tool. To use data mining appropriately, a researcher would search data for patterns, formulate explanations for those patterns, and then statistically test</w:t>
      </w:r>
      <w:r>
        <w:t xml:space="preserve"> those explanations to identify their applicability outside the sample firms and time period used to identify the patterns. This method is used extensively in medical research, for example. The critical and necessary ingredient to its success is extensive </w:t>
      </w:r>
      <w:r>
        <w:t>and painstaking testing of any patterns identified in the data. Collins provided no such tests in GTG. Rather, Collins presented his potentially “fleeting random patterns” as five principles that will lead a firm to greatness.</w:t>
      </w:r>
    </w:p>
    <w:p w14:paraId="4BF7BD45" w14:textId="77777777" w:rsidR="00CB7A57" w:rsidRDefault="003B1641">
      <w:pPr>
        <w:pStyle w:val="2"/>
        <w:ind w:left="-5"/>
      </w:pPr>
      <w:r>
        <w:t>Associationvs.Causation</w:t>
      </w:r>
    </w:p>
    <w:p w14:paraId="7A24E285" w14:textId="77777777" w:rsidR="00CB7A57" w:rsidRDefault="003B1641">
      <w:r>
        <w:t>A sec</w:t>
      </w:r>
      <w:r>
        <w:t>ond problem in GTG involves interpreting association (correlation) as causation. In GTG, Collins chose firms he defined as great, investigated the qualities of those firms relative to a set of comparison companies, and identified five characteristics commo</w:t>
      </w:r>
      <w:r>
        <w:t xml:space="preserve">n to the “great” firms. In other words, Collins identified an </w:t>
      </w:r>
      <w:r>
        <w:rPr>
          <w:i/>
        </w:rPr>
        <w:t xml:space="preserve">association </w:t>
      </w:r>
      <w:r>
        <w:t xml:space="preserve">between the great firms and the five characteristics; he found that greatness and the characteristics appeared together in the 11 GTG firms during the time period he studied. He did </w:t>
      </w:r>
      <w:r>
        <w:t xml:space="preserve">not, however, provide any evidence of the </w:t>
      </w:r>
      <w:r>
        <w:rPr>
          <w:i/>
        </w:rPr>
        <w:t xml:space="preserve">causation </w:t>
      </w:r>
      <w:r>
        <w:t xml:space="preserve">he claimed: </w:t>
      </w:r>
      <w:r>
        <w:t xml:space="preserve">Established Company or Startup </w:t>
      </w:r>
      <w:r>
        <w:rPr>
          <w:rFonts w:ascii="Calibri" w:eastAsia="Calibri" w:hAnsi="Calibri" w:cs="Calibri"/>
        </w:rPr>
        <w:t xml:space="preserve"> </w:t>
      </w:r>
      <w:r>
        <w:rPr>
          <w:i/>
        </w:rPr>
        <w:t xml:space="preserve">Good to Great </w:t>
      </w:r>
      <w:r>
        <w:t xml:space="preserve">Concepts </w:t>
      </w:r>
      <w:r>
        <w:rPr>
          <w:rFonts w:ascii="Calibri" w:eastAsia="Calibri" w:hAnsi="Calibri" w:cs="Calibri"/>
        </w:rPr>
        <w:t xml:space="preserve"> </w:t>
      </w:r>
      <w:r>
        <w:t>Sustained Great Results (p. 190).</w:t>
      </w:r>
    </w:p>
    <w:p w14:paraId="7412FC14" w14:textId="77777777" w:rsidR="00CB7A57" w:rsidRDefault="003B1641">
      <w:pPr>
        <w:ind w:left="0" w:firstLine="280"/>
      </w:pPr>
      <w:r>
        <w:t xml:space="preserve">The GTG methodology did not show that these characteristics made the firms great. It showed only that </w:t>
      </w:r>
      <w:r>
        <w:t>the 11 firms had these characteristics in common. This error may be much more damaging in practice than data mining since it leads business managers to believe that applying the five principles will move them toward greatness. In reality, there are at leas</w:t>
      </w:r>
      <w:r>
        <w:t>t two alternative explanations. First, being great allows firms to live by the principles; for example, being profitable allows a firm to spend more to hire the right people. Second, there could be an outside factor, such as an unidentified environmental f</w:t>
      </w:r>
      <w:r>
        <w:t>actor, that simultaneously creates sustained results and the principles. Again, GTG provided no evidence of causation, only claims.</w:t>
      </w:r>
    </w:p>
    <w:p w14:paraId="175D7D89" w14:textId="77777777" w:rsidR="00CB7A57" w:rsidRDefault="003B1641">
      <w:pPr>
        <w:spacing w:after="125"/>
        <w:ind w:left="0" w:firstLine="280"/>
      </w:pPr>
      <w:r>
        <w:t>In the epilogue to GTG, Collins provided answers to frequently asked questions. The third question regarded statistical sign</w:t>
      </w:r>
      <w:r>
        <w:t>ificance given that the total study size was only 28 companies. Collins replied that he “engaged two leading professors to help us resolve this question” and that they “concluded that we do not have a statistics problem” (pp. 211–212). In a further explana</w:t>
      </w:r>
      <w:r>
        <w:t>tion, Collins quoted one of the professors, William P. Briggs from the University of Colorado:</w:t>
      </w:r>
    </w:p>
    <w:p w14:paraId="78A5A464" w14:textId="77777777" w:rsidR="00CB7A57" w:rsidRDefault="003B1641">
      <w:pPr>
        <w:spacing w:after="187" w:line="255" w:lineRule="auto"/>
        <w:ind w:left="275" w:right="266"/>
      </w:pPr>
      <w:r>
        <w:rPr>
          <w:i/>
          <w:sz w:val="20"/>
        </w:rPr>
        <w:t>What is the probability of finding by chance a group of 11 companies, all of whose members display the primary traits you discovered while the direct comparisons</w:t>
      </w:r>
      <w:r>
        <w:rPr>
          <w:i/>
          <w:sz w:val="20"/>
        </w:rPr>
        <w:t xml:space="preserve"> do not possess those traits (p. 212)?</w:t>
      </w:r>
    </w:p>
    <w:p w14:paraId="05A0964E" w14:textId="77777777" w:rsidR="00CB7A57" w:rsidRDefault="003B1641">
      <w:pPr>
        <w:spacing w:after="122"/>
      </w:pPr>
      <w:r>
        <w:t>Collins then stated:</w:t>
      </w:r>
    </w:p>
    <w:p w14:paraId="7CB2D91E" w14:textId="77777777" w:rsidR="00CB7A57" w:rsidRDefault="003B1641">
      <w:pPr>
        <w:spacing w:after="187" w:line="255" w:lineRule="auto"/>
        <w:ind w:left="275" w:right="266"/>
      </w:pPr>
      <w:r>
        <w:rPr>
          <w:i/>
          <w:sz w:val="20"/>
        </w:rPr>
        <w:t xml:space="preserve">He (Briggs) concluded that the probability is less than 1 in 17 million. There is virtually no chance that we simply found 11 random events that just happened to show the good-to-great pattern we </w:t>
      </w:r>
      <w:r>
        <w:rPr>
          <w:i/>
          <w:sz w:val="20"/>
        </w:rPr>
        <w:t>were looking for. We can conclude with confidence that the traits we found are strongly associated with transformations from good to great (p. 212).</w:t>
      </w:r>
    </w:p>
    <w:p w14:paraId="7440493C" w14:textId="77777777" w:rsidR="00CB7A57" w:rsidRDefault="003B1641">
      <w:pPr>
        <w:spacing w:after="125"/>
      </w:pPr>
      <w:r>
        <w:t xml:space="preserve">This rationale does not apply to the methodology actually used in GTG. Collins didn’t start by identifying </w:t>
      </w:r>
      <w:r>
        <w:t xml:space="preserve">the “primary traits” and then evaluate the characteristics of any companies that displayed them, as the explanation implied. Collins started </w:t>
      </w:r>
      <w:r>
        <w:lastRenderedPageBreak/>
        <w:t>with the companies and then looked for common traits in those companies. Thus, the rationale provided by the profes</w:t>
      </w:r>
      <w:r>
        <w:t>sors does not apply to Collins’ methodology. In addition, given Collins’ actual methodology, the “11 random events” were not random events—they were events/companies that were intentionally and painstakingly selected, and then mined for their commonalities</w:t>
      </w:r>
      <w:r>
        <w:t>. The question the professors should have been asking was:</w:t>
      </w:r>
    </w:p>
    <w:p w14:paraId="61466E04" w14:textId="77777777" w:rsidR="00CB7A57" w:rsidRDefault="003B1641">
      <w:pPr>
        <w:spacing w:after="187" w:line="255" w:lineRule="auto"/>
        <w:ind w:left="275" w:right="266"/>
      </w:pPr>
      <w:r>
        <w:rPr>
          <w:i/>
          <w:sz w:val="20"/>
        </w:rPr>
        <w:t>What is the probability that, in a sample of firms selected for like characteristics with respect to performance, you could find five points of commonality between them?</w:t>
      </w:r>
      <w:r>
        <w:rPr>
          <w:i/>
          <w:sz w:val="20"/>
          <w:vertAlign w:val="superscript"/>
        </w:rPr>
        <w:footnoteReference w:id="1"/>
      </w:r>
    </w:p>
    <w:p w14:paraId="65F78CF5" w14:textId="77777777" w:rsidR="00CB7A57" w:rsidRDefault="003B1641">
      <w:pPr>
        <w:spacing w:after="329"/>
      </w:pPr>
      <w:r>
        <w:t>We propose that this prob</w:t>
      </w:r>
      <w:r>
        <w:t>ability is far closer to 100% than to 1 in 17 million. Although Collins used 11 handpicked comparison firms, his methodology doesn’t tell us if the practices in the 11 GTG firms are different from those of the other firms in the Fortune 500. Poor performer</w:t>
      </w:r>
      <w:r>
        <w:t>s may have Level 5 leadership as well, but we’d never know this from his study.</w:t>
      </w:r>
    </w:p>
    <w:p w14:paraId="64E7765B" w14:textId="77777777" w:rsidR="00CB7A57" w:rsidRDefault="003B1641">
      <w:pPr>
        <w:spacing w:after="0" w:line="259" w:lineRule="auto"/>
        <w:ind w:right="1"/>
        <w:jc w:val="center"/>
      </w:pPr>
      <w:r>
        <w:rPr>
          <w:rFonts w:ascii="Calibri" w:eastAsia="Calibri" w:hAnsi="Calibri" w:cs="Calibri"/>
          <w:b/>
        </w:rPr>
        <w:t>TheRightWay</w:t>
      </w:r>
    </w:p>
    <w:p w14:paraId="1EB47BB8" w14:textId="77777777" w:rsidR="00CB7A57" w:rsidRDefault="003B1641">
      <w:pPr>
        <w:ind w:left="0" w:firstLine="568"/>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1BFAFDC3" wp14:editId="06E5EC8C">
                <wp:simplePos x="0" y="0"/>
                <wp:positionH relativeFrom="column">
                  <wp:posOffset>13</wp:posOffset>
                </wp:positionH>
                <wp:positionV relativeFrom="paragraph">
                  <wp:posOffset>-36828</wp:posOffset>
                </wp:positionV>
                <wp:extent cx="360883" cy="657759"/>
                <wp:effectExtent l="0" t="0" r="0" b="0"/>
                <wp:wrapSquare wrapText="bothSides"/>
                <wp:docPr id="17989" name="Group 17989"/>
                <wp:cNvGraphicFramePr/>
                <a:graphic xmlns:a="http://schemas.openxmlformats.org/drawingml/2006/main">
                  <a:graphicData uri="http://schemas.microsoft.com/office/word/2010/wordprocessingGroup">
                    <wpg:wgp>
                      <wpg:cNvGrpSpPr/>
                      <wpg:grpSpPr>
                        <a:xfrm>
                          <a:off x="0" y="0"/>
                          <a:ext cx="360883" cy="657759"/>
                          <a:chOff x="0" y="0"/>
                          <a:chExt cx="360883" cy="657759"/>
                        </a:xfrm>
                      </wpg:grpSpPr>
                      <wps:wsp>
                        <wps:cNvPr id="408" name="Rectangle 408"/>
                        <wps:cNvSpPr/>
                        <wps:spPr>
                          <a:xfrm>
                            <a:off x="0" y="0"/>
                            <a:ext cx="479975" cy="874820"/>
                          </a:xfrm>
                          <a:prstGeom prst="rect">
                            <a:avLst/>
                          </a:prstGeom>
                          <a:ln>
                            <a:noFill/>
                          </a:ln>
                        </wps:spPr>
                        <wps:txbx>
                          <w:txbxContent>
                            <w:p w14:paraId="1741BBE5" w14:textId="77777777" w:rsidR="00CB7A57" w:rsidRDefault="003B1641">
                              <w:pPr>
                                <w:spacing w:after="160" w:line="259" w:lineRule="auto"/>
                                <w:ind w:left="0" w:firstLine="0"/>
                                <w:jc w:val="left"/>
                              </w:pPr>
                              <w:r>
                                <w:rPr>
                                  <w:rFonts w:ascii="Calibri" w:eastAsia="Calibri" w:hAnsi="Calibri" w:cs="Calibri"/>
                                  <w:w w:val="67"/>
                                  <w:sz w:val="96"/>
                                </w:rPr>
                                <w:t>W</w:t>
                              </w:r>
                            </w:p>
                          </w:txbxContent>
                        </wps:txbx>
                        <wps:bodyPr horzOverflow="overflow" vert="horz" lIns="0" tIns="0" rIns="0" bIns="0" rtlCol="0">
                          <a:noAutofit/>
                        </wps:bodyPr>
                      </wps:wsp>
                    </wpg:wgp>
                  </a:graphicData>
                </a:graphic>
              </wp:anchor>
            </w:drawing>
          </mc:Choice>
          <mc:Fallback xmlns:a="http://schemas.openxmlformats.org/drawingml/2006/main">
            <w:pict>
              <v:group id="Group 17989" style="width:28.416pt;height:51.7921pt;position:absolute;mso-position-horizontal-relative:text;mso-position-horizontal:absolute;margin-left:0.000991821pt;mso-position-vertical-relative:text;margin-top:-2.8999pt;" coordsize="3608,6577">
                <v:rect id="Rectangle 408" style="position:absolute;width:4799;height:8748;left:0;top:0;" filled="f" stroked="f">
                  <v:textbox inset="0,0,0,0">
                    <w:txbxContent>
                      <w:p>
                        <w:pPr>
                          <w:spacing w:before="0" w:after="160" w:line="259" w:lineRule="auto"/>
                          <w:ind w:left="0" w:firstLine="0"/>
                          <w:jc w:val="left"/>
                        </w:pPr>
                        <w:r>
                          <w:rPr>
                            <w:rFonts w:cs="Calibri" w:hAnsi="Calibri" w:eastAsia="Calibri" w:ascii="Calibri"/>
                            <w:w w:val="67"/>
                            <w:sz w:val="96"/>
                          </w:rPr>
                          <w:t xml:space="preserve">W</w:t>
                        </w:r>
                      </w:p>
                    </w:txbxContent>
                  </v:textbox>
                </v:rect>
                <w10:wrap type="square"/>
              </v:group>
            </w:pict>
          </mc:Fallback>
        </mc:AlternateContent>
      </w:r>
      <w:r>
        <w:t>e appreciate Collins’ efforts to think outside the box and “not begin this project with a theory to test or prove” and to “build a theory from the ground up” (p. 10). However, identifying a theory, setting up hypotheses, and then sampling, testing, and dra</w:t>
      </w:r>
      <w:r>
        <w:t>wing conclusions regarding the validity of the theory is the method necessary to justify the claims that Collins made. To clarify our position, we do not argue that Collins’ conclusions and claims are incorrect, but that he provided no evidence that they a</w:t>
      </w:r>
      <w:r>
        <w:t>re anything other than random patterns.</w:t>
      </w:r>
    </w:p>
    <w:p w14:paraId="0CFB0296" w14:textId="77777777" w:rsidR="00CB7A57" w:rsidRDefault="003B1641">
      <w:pPr>
        <w:spacing w:after="329"/>
        <w:ind w:left="0" w:firstLine="280"/>
      </w:pPr>
      <w:r>
        <w:t>To provide bases for his claims, Collins (or others) needs to pick up where he left off in GTG and test the validity of his claims using classical statistical analysis. The first step in this process would be to iden</w:t>
      </w:r>
      <w:r>
        <w:t>tify hypotheses regarding the relationship between the five GTG principles and firm success (measured, for example, by stock returns). These hypotheses would be grounded not only in Collins’ inductive work but also in prior management theory research addre</w:t>
      </w:r>
      <w:r>
        <w:t>ssing the same relationships. For example, there exists a vast body of literature on the importance of valid selection procedures to get “the right people on the bus.” After formulating specific hypotheses, the next step would be to collect a sample of pub</w:t>
      </w:r>
      <w:r>
        <w:t>licly traded firms that is representative of all firms. Finally, one of a wide variety of statistical methods, such as regression analysis, could be used to test for support of the relationships specified in the hypotheses.</w:t>
      </w:r>
    </w:p>
    <w:p w14:paraId="149EE593" w14:textId="77777777" w:rsidR="00CB7A57" w:rsidRDefault="003B1641">
      <w:pPr>
        <w:spacing w:after="43" w:line="259" w:lineRule="auto"/>
        <w:ind w:right="1"/>
        <w:jc w:val="center"/>
      </w:pPr>
      <w:r>
        <w:rPr>
          <w:rFonts w:ascii="Calibri" w:eastAsia="Calibri" w:hAnsi="Calibri" w:cs="Calibri"/>
          <w:b/>
        </w:rPr>
        <w:t>WhatWeDid</w:t>
      </w:r>
    </w:p>
    <w:p w14:paraId="2ED9EAE8" w14:textId="77777777" w:rsidR="00CB7A57" w:rsidRDefault="003B1641">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3DB06E02" wp14:editId="34791094">
                <wp:simplePos x="0" y="0"/>
                <wp:positionH relativeFrom="column">
                  <wp:posOffset>-34911</wp:posOffset>
                </wp:positionH>
                <wp:positionV relativeFrom="paragraph">
                  <wp:posOffset>189573</wp:posOffset>
                </wp:positionV>
                <wp:extent cx="135331" cy="657758"/>
                <wp:effectExtent l="0" t="0" r="0" b="0"/>
                <wp:wrapSquare wrapText="bothSides"/>
                <wp:docPr id="17990" name="Group 17990"/>
                <wp:cNvGraphicFramePr/>
                <a:graphic xmlns:a="http://schemas.openxmlformats.org/drawingml/2006/main">
                  <a:graphicData uri="http://schemas.microsoft.com/office/word/2010/wordprocessingGroup">
                    <wpg:wgp>
                      <wpg:cNvGrpSpPr/>
                      <wpg:grpSpPr>
                        <a:xfrm>
                          <a:off x="0" y="0"/>
                          <a:ext cx="135331" cy="657758"/>
                          <a:chOff x="0" y="0"/>
                          <a:chExt cx="135331" cy="657758"/>
                        </a:xfrm>
                      </wpg:grpSpPr>
                      <wps:wsp>
                        <wps:cNvPr id="441" name="Rectangle 441"/>
                        <wps:cNvSpPr/>
                        <wps:spPr>
                          <a:xfrm>
                            <a:off x="0" y="0"/>
                            <a:ext cx="179990" cy="874819"/>
                          </a:xfrm>
                          <a:prstGeom prst="rect">
                            <a:avLst/>
                          </a:prstGeom>
                          <a:ln>
                            <a:noFill/>
                          </a:ln>
                        </wps:spPr>
                        <wps:txbx>
                          <w:txbxContent>
                            <w:p w14:paraId="47241A46" w14:textId="77777777" w:rsidR="00CB7A57" w:rsidRDefault="003B1641">
                              <w:pPr>
                                <w:spacing w:after="160" w:line="259" w:lineRule="auto"/>
                                <w:ind w:left="0" w:firstLine="0"/>
                                <w:jc w:val="left"/>
                              </w:pPr>
                              <w:r>
                                <w:rPr>
                                  <w:rFonts w:ascii="Calibri" w:eastAsia="Calibri" w:hAnsi="Calibri" w:cs="Calibri"/>
                                  <w:w w:val="90"/>
                                  <w:sz w:val="96"/>
                                </w:rPr>
                                <w:t>I</w:t>
                              </w:r>
                            </w:p>
                          </w:txbxContent>
                        </wps:txbx>
                        <wps:bodyPr horzOverflow="overflow" vert="horz" lIns="0" tIns="0" rIns="0" bIns="0" rtlCol="0">
                          <a:noAutofit/>
                        </wps:bodyPr>
                      </wps:wsp>
                    </wpg:wgp>
                  </a:graphicData>
                </a:graphic>
              </wp:anchor>
            </w:drawing>
          </mc:Choice>
          <mc:Fallback xmlns:a="http://schemas.openxmlformats.org/drawingml/2006/main">
            <w:pict>
              <v:group id="Group 17990" style="width:10.656pt;height:51.792pt;position:absolute;mso-position-horizontal-relative:text;mso-position-horizontal:absolute;margin-left:-2.74901pt;mso-position-vertical-relative:text;margin-top:14.927pt;" coordsize="1353,6577">
                <v:rect id="Rectangle 441" style="position:absolute;width:1799;height:8748;left:0;top:0;" filled="f" stroked="f">
                  <v:textbox inset="0,0,0,0">
                    <w:txbxContent>
                      <w:p>
                        <w:pPr>
                          <w:spacing w:before="0" w:after="160" w:line="259" w:lineRule="auto"/>
                          <w:ind w:left="0" w:firstLine="0"/>
                          <w:jc w:val="left"/>
                        </w:pPr>
                        <w:r>
                          <w:rPr>
                            <w:rFonts w:cs="Calibri" w:hAnsi="Calibri" w:eastAsia="Calibri" w:ascii="Calibri"/>
                            <w:w w:val="90"/>
                            <w:sz w:val="96"/>
                          </w:rPr>
                          <w:t xml:space="preserve">I</w:t>
                        </w:r>
                      </w:p>
                    </w:txbxContent>
                  </v:textbox>
                </v:rect>
                <w10:wrap type="square"/>
              </v:group>
            </w:pict>
          </mc:Fallback>
        </mc:AlternateContent>
      </w:r>
      <w:r>
        <w:rPr>
          <w:rFonts w:ascii="Calibri" w:eastAsia="Calibri" w:hAnsi="Calibri" w:cs="Calibri"/>
          <w:b/>
          <w:sz w:val="22"/>
        </w:rPr>
        <w:t xml:space="preserve">Methodology </w:t>
      </w:r>
      <w:r>
        <w:t>n addition to our explanations of the statistical errors in GTG, we provide tests of the performance of the GTG companies. We do this to provide empirical evidence in addition to our statistical arguments that there is no basis for Collins’ claims. We inve</w:t>
      </w:r>
      <w:r>
        <w:t>stigated the generalizability of the GTG results in two ways. First, we checked to see how the performance of the 11 GTG firms compared to the Fortune 500 firms in the 10 years following the time period used in GTG. If the 11 firms were truly great, they s</w:t>
      </w:r>
      <w:r>
        <w:t>hould have outperformed their peers in time periods other than the period used to select them. We used 10-year investment returns to measure performance.</w:t>
      </w:r>
      <w:r>
        <w:rPr>
          <w:vertAlign w:val="superscript"/>
        </w:rPr>
        <w:footnoteReference w:id="2"/>
      </w:r>
      <w:r>
        <w:rPr>
          <w:vertAlign w:val="superscript"/>
        </w:rPr>
        <w:t xml:space="preserve"> </w:t>
      </w:r>
      <w:r>
        <w:t>Specifically, we ranked the 11 GTG firms with the 2005 Fortune 500 firms by 10-year return to invest</w:t>
      </w:r>
      <w:r>
        <w:t>ors to see how the 11 firms performed during 1995 through 2005. One of the screening criteria used to select the 11 GTG firms was that the firms still be on “an upward trend” at the end of the time period considered in GTG. To the extent that this criterio</w:t>
      </w:r>
      <w:r>
        <w:t>n was measurable and effective, this should have created an upward bias in the ranking of the 11 GTG firms, thereby making them look better in our rankings than they otherwise would.</w:t>
      </w:r>
    </w:p>
    <w:p w14:paraId="79158A17" w14:textId="77777777" w:rsidR="00CB7A57" w:rsidRDefault="003B1641">
      <w:pPr>
        <w:spacing w:after="270"/>
        <w:ind w:left="0" w:firstLine="280"/>
      </w:pPr>
      <w:r>
        <w:t>As a second test, we compared the return performance of the 11 GTG stocks</w:t>
      </w:r>
      <w:r>
        <w:t xml:space="preserve"> to the return performance of the S&amp;P 500 after the sample period used in GTG.</w:t>
      </w:r>
      <w:r>
        <w:rPr>
          <w:vertAlign w:val="superscript"/>
        </w:rPr>
        <w:footnoteReference w:id="3"/>
      </w:r>
      <w:r>
        <w:rPr>
          <w:vertAlign w:val="superscript"/>
        </w:rPr>
        <w:t xml:space="preserve"> </w:t>
      </w:r>
      <w:r>
        <w:t xml:space="preserve">If Collins’ results are generalizable, i.e., they apply to other time periods, these firms should outperform their peers in other time periods. We hypothesized that there was </w:t>
      </w:r>
      <w:r>
        <w:t>no significant difference between the returns of each of the 11 GTG firms and the returns of the S&amp;P 500 in the time period after the one Collins used to select the firms. This hypothesis can be stated as:</w:t>
      </w:r>
    </w:p>
    <w:p w14:paraId="4A5F7CF4" w14:textId="77777777" w:rsidR="00CB7A57" w:rsidRDefault="003B1641">
      <w:pPr>
        <w:spacing w:after="24" w:line="255" w:lineRule="auto"/>
        <w:ind w:left="265" w:right="266" w:firstLine="280"/>
      </w:pPr>
      <w:r>
        <w:rPr>
          <w:i/>
          <w:sz w:val="20"/>
        </w:rPr>
        <w:t>H</w:t>
      </w:r>
      <w:r>
        <w:rPr>
          <w:i/>
          <w:sz w:val="20"/>
          <w:vertAlign w:val="subscript"/>
        </w:rPr>
        <w:t>0</w:t>
      </w:r>
      <w:r>
        <w:rPr>
          <w:i/>
          <w:sz w:val="20"/>
        </w:rPr>
        <w:t>: There is no difference between the mean return</w:t>
      </w:r>
      <w:r>
        <w:rPr>
          <w:i/>
          <w:sz w:val="20"/>
        </w:rPr>
        <w:t xml:space="preserve"> of each GTG firm and the mean return of the S&amp;P 500 index.</w:t>
      </w:r>
    </w:p>
    <w:p w14:paraId="4C498C5C" w14:textId="77777777" w:rsidR="00CB7A57" w:rsidRDefault="003B1641">
      <w:pPr>
        <w:spacing w:after="187" w:line="255" w:lineRule="auto"/>
        <w:ind w:left="265" w:right="266" w:firstLine="280"/>
      </w:pPr>
      <w:r>
        <w:rPr>
          <w:i/>
          <w:sz w:val="20"/>
        </w:rPr>
        <w:t>H</w:t>
      </w:r>
      <w:r>
        <w:rPr>
          <w:i/>
          <w:sz w:val="20"/>
          <w:vertAlign w:val="subscript"/>
        </w:rPr>
        <w:t>1</w:t>
      </w:r>
      <w:r>
        <w:rPr>
          <w:i/>
          <w:sz w:val="20"/>
        </w:rPr>
        <w:t>: The mean return of each GTG firm is greater than the mean return of the S&amp;P 500 index.</w:t>
      </w:r>
    </w:p>
    <w:p w14:paraId="3C9A7898" w14:textId="77777777" w:rsidR="00CB7A57" w:rsidRDefault="003B1641">
      <w:pPr>
        <w:pStyle w:val="2"/>
        <w:ind w:left="-5"/>
      </w:pPr>
      <w:r>
        <w:t>Data</w:t>
      </w:r>
    </w:p>
    <w:p w14:paraId="0D112A86" w14:textId="77777777" w:rsidR="00CB7A57" w:rsidRDefault="003B1641">
      <w:pPr>
        <w:spacing w:after="414"/>
      </w:pPr>
      <w:r>
        <w:t>We tested this hypothesis in two time periods: during the post-GTG sample period (1995–2005) and wit</w:t>
      </w:r>
      <w:r>
        <w:t>h as long a time period as possible without overlapping GTG’s selection period. One of the GTG screening criteria was that to be great, a firm had to have a 15-year period demonstrating a great cumulative stock return (more than three times the general mar</w:t>
      </w:r>
      <w:r>
        <w:t>ket) preceded by a 15-year period demonstrating a good cumulative stock return (less than one third its great cumulative return). The point in time between the 15-year periods was deemed the company’s “transition point”—the point at which it made the trans</w:t>
      </w:r>
      <w:r>
        <w:t>ition from good to great. The year of this transition point for the GTG firms ranged from 1964 to 1984. To get as long a time period as possible, we tested each firm’s returns against the returns on the S&amp;P 500 during the time period beginning with each fi</w:t>
      </w:r>
      <w:r>
        <w:t xml:space="preserve">rm’s transition point </w:t>
      </w:r>
      <w:r>
        <w:rPr>
          <w:rFonts w:ascii="Calibri" w:eastAsia="Calibri" w:hAnsi="Calibri" w:cs="Calibri"/>
        </w:rPr>
        <w:t xml:space="preserve"> </w:t>
      </w:r>
      <w:r>
        <w:t>15 years through 2005.</w:t>
      </w:r>
    </w:p>
    <w:p w14:paraId="66991F35" w14:textId="77777777" w:rsidR="00CB7A57" w:rsidRDefault="003B1641">
      <w:pPr>
        <w:pStyle w:val="2"/>
        <w:ind w:left="-5"/>
      </w:pPr>
      <w:r>
        <w:t>Results</w:t>
      </w:r>
    </w:p>
    <w:p w14:paraId="1B4F2DDD" w14:textId="77777777" w:rsidR="00CB7A57" w:rsidRDefault="003B1641">
      <w:r>
        <w:t>We ranked the 11 GTG firms with the 2006 Fortune 500 firms based on return to investors in the period 1995 through 2005. According to Collins’ theory, if the 11 GTG firms were run by the most skilled ma</w:t>
      </w:r>
      <w:r>
        <w:t>nagement teams, they should have demonstrated “great” performance relative to their peers in time periods other than those used in GTG. Table 2 shows the top 10 Fortune 500 firms, ranked by return to investors. This list, topped by NVR and Dell, produced 1</w:t>
      </w:r>
      <w:r>
        <w:t>0-year average returns to investors ranging from 53% (NVR) to 31.6% (Kinder Morgan Energy), with a top 10 group average 10-year return of 37.8%. In contrast, the 11 GTG firms provided a 10-year group average return to investors of 10.9%, less than one thir</w:t>
      </w:r>
      <w:r>
        <w:t>d the average return of the top 10 group. Although several of the GTG firms produced returns that were good (for example, Walgreens at 20.2%), the returns ranged down to a 6.2% return produced by Kimberly-Clark. In terms of the overall Fortune 500 rankings</w:t>
      </w:r>
      <w:r>
        <w:t>, the GTG firms ranged from 62nd (Walgreens) down to 302nd (KimberlyClark), with an average ranking of 202. Thus, considering both the rankings and the returns themselves, we find no evidence of greatness in the 10-year time period following the sample per</w:t>
      </w:r>
      <w:r>
        <w:t>iod used in GTG.</w:t>
      </w:r>
    </w:p>
    <w:p w14:paraId="479F498E" w14:textId="77777777" w:rsidR="00CB7A57" w:rsidRDefault="003B1641">
      <w:pPr>
        <w:ind w:left="0" w:firstLine="280"/>
      </w:pPr>
      <w:r>
        <w:t>The results in Table 2 are especially strong when considered in light of the upward bias in the rankings of the 11 GTG firms created by Collins’ requirement that to be considered great, “the company should still show an upward trend” at the end of the peri</w:t>
      </w:r>
      <w:r>
        <w:t>od in which it was selected. The GTG companies are clearly strong companies managed by competent managers, but ranking an average of 202 even with the help of the bias and having average returns that are one third of the top 10 do not support GTG’s label o</w:t>
      </w:r>
      <w:r>
        <w:t>f greatness.</w:t>
      </w:r>
    </w:p>
    <w:p w14:paraId="44D5B75C" w14:textId="77777777" w:rsidR="00CB7A57" w:rsidRDefault="003B1641">
      <w:pPr>
        <w:spacing w:after="43"/>
        <w:ind w:left="0" w:firstLine="280"/>
      </w:pPr>
      <w:r>
        <w:t>The results in Table 3 also shed light on the question of the generalizability of Collins’ findings to other time periods. Panel 1 of Table 3 provides the results of paired t-tests of the null hypothesis that there is no difference between the</w:t>
      </w:r>
      <w:r>
        <w:t xml:space="preserve"> mean return of the GTG firms and the mean return of the S&amp;P 500 index during the time period 1995 through 2005. As the results show, in 10 of the 11 cases, we failed to reject the null hypothesis. We must therefore conclude that in those 10 cases, no sign</w:t>
      </w:r>
      <w:r>
        <w:t>ificant difference exists between the returns of the GTG firms and the average firm in the S&amp;P 500. Only one of the GTG firms, Walgreens, outperformed the S&amp;P 500 during that period. Thus we found little evidence of the “greatness” described in GTG.</w:t>
      </w:r>
      <w:r>
        <w:rPr>
          <w:vertAlign w:val="superscript"/>
        </w:rPr>
        <w:footnoteReference w:id="4"/>
      </w:r>
    </w:p>
    <w:p w14:paraId="55E8180A" w14:textId="77777777" w:rsidR="00CB7A57" w:rsidRDefault="003B1641">
      <w:pPr>
        <w:ind w:left="0" w:firstLine="280"/>
      </w:pPr>
      <w:r>
        <w:t>We a</w:t>
      </w:r>
      <w:r>
        <w:t xml:space="preserve">lso tested the return performance of each firm against the S&amp;P 500 during the time period beginning 15 years after its transition point through the end of 2005. This results in a longer time period being tested than in Panel 1, with an average of 14 years </w:t>
      </w:r>
      <w:r>
        <w:t xml:space="preserve">per firm. The results of Panel 2 in Table 3 also fail to support the generalizability of Collins’ findings. In nine of the 11 cases, we failed to reject the null hypothesis. Thus we concluded with even greater certainty that there was little difference in </w:t>
      </w:r>
      <w:r>
        <w:t>the performance of the GTG firms and the performance of the average firm in the S&amp;P 500. In other words, we found no evidence that the GTG firms were associated with greatness in the time period following that used by Collins to select the firms.</w:t>
      </w:r>
    </w:p>
    <w:tbl>
      <w:tblPr>
        <w:tblStyle w:val="TableGrid"/>
        <w:tblpPr w:vertAnchor="text" w:horzAnchor="margin"/>
        <w:tblOverlap w:val="never"/>
        <w:tblW w:w="10081" w:type="dxa"/>
        <w:tblInd w:w="0" w:type="dxa"/>
        <w:tblCellMar>
          <w:top w:w="0" w:type="dxa"/>
          <w:left w:w="0" w:type="dxa"/>
          <w:bottom w:w="0" w:type="dxa"/>
          <w:right w:w="0" w:type="dxa"/>
        </w:tblCellMar>
        <w:tblLook w:val="04A0" w:firstRow="1" w:lastRow="0" w:firstColumn="1" w:lastColumn="0" w:noHBand="0" w:noVBand="1"/>
      </w:tblPr>
      <w:tblGrid>
        <w:gridCol w:w="10086"/>
      </w:tblGrid>
      <w:tr w:rsidR="00CB7A57" w14:paraId="49807118" w14:textId="77777777">
        <w:trPr>
          <w:trHeight w:val="9679"/>
        </w:trPr>
        <w:tc>
          <w:tcPr>
            <w:tcW w:w="10083" w:type="dxa"/>
            <w:tcBorders>
              <w:top w:val="nil"/>
              <w:left w:val="nil"/>
              <w:bottom w:val="nil"/>
              <w:right w:val="nil"/>
            </w:tcBorders>
          </w:tcPr>
          <w:p w14:paraId="43EF2CBF" w14:textId="77777777" w:rsidR="00CB7A57" w:rsidRDefault="003B1641">
            <w:pPr>
              <w:spacing w:after="0" w:line="259" w:lineRule="auto"/>
              <w:ind w:left="0" w:firstLine="0"/>
              <w:jc w:val="left"/>
            </w:pPr>
            <w:r>
              <w:rPr>
                <w:rFonts w:ascii="Calibri" w:eastAsia="Calibri" w:hAnsi="Calibri" w:cs="Calibri"/>
                <w:b/>
                <w:sz w:val="22"/>
              </w:rPr>
              <w:t>Table2</w:t>
            </w:r>
          </w:p>
          <w:p w14:paraId="4994718E" w14:textId="77777777" w:rsidR="00CB7A57" w:rsidRDefault="003B1641">
            <w:pPr>
              <w:spacing w:after="0" w:line="259" w:lineRule="auto"/>
              <w:ind w:left="0" w:firstLine="0"/>
              <w:jc w:val="left"/>
            </w:pPr>
            <w:r>
              <w:rPr>
                <w:rFonts w:ascii="Calibri" w:eastAsia="Calibri" w:hAnsi="Calibri" w:cs="Calibri"/>
                <w:b/>
                <w:sz w:val="22"/>
              </w:rPr>
              <w:t>20</w:t>
            </w:r>
            <w:r>
              <w:rPr>
                <w:rFonts w:ascii="Calibri" w:eastAsia="Calibri" w:hAnsi="Calibri" w:cs="Calibri"/>
                <w:b/>
                <w:sz w:val="22"/>
              </w:rPr>
              <w:t>06Fortune500Rankedby10-YearReturntoInvestors1995–2005</w:t>
            </w:r>
            <w:r>
              <w:rPr>
                <w:rFonts w:ascii="Calibri" w:eastAsia="Calibri" w:hAnsi="Calibri" w:cs="Calibri"/>
                <w:b/>
                <w:sz w:val="22"/>
                <w:vertAlign w:val="superscript"/>
              </w:rPr>
              <w:t>1</w:t>
            </w:r>
          </w:p>
          <w:tbl>
            <w:tblPr>
              <w:tblStyle w:val="TableGrid"/>
              <w:tblW w:w="10072" w:type="dxa"/>
              <w:tblInd w:w="4" w:type="dxa"/>
              <w:tblCellMar>
                <w:top w:w="54" w:type="dxa"/>
                <w:left w:w="756" w:type="dxa"/>
                <w:bottom w:w="11" w:type="dxa"/>
                <w:right w:w="115" w:type="dxa"/>
              </w:tblCellMar>
              <w:tblLook w:val="04A0" w:firstRow="1" w:lastRow="0" w:firstColumn="1" w:lastColumn="0" w:noHBand="0" w:noVBand="1"/>
            </w:tblPr>
            <w:tblGrid>
              <w:gridCol w:w="2082"/>
              <w:gridCol w:w="2346"/>
              <w:gridCol w:w="3251"/>
              <w:gridCol w:w="2393"/>
            </w:tblGrid>
            <w:tr w:rsidR="00CB7A57" w14:paraId="18D76BB7" w14:textId="77777777">
              <w:trPr>
                <w:trHeight w:val="823"/>
              </w:trPr>
              <w:tc>
                <w:tcPr>
                  <w:tcW w:w="2088" w:type="dxa"/>
                  <w:tcBorders>
                    <w:top w:val="single" w:sz="4" w:space="0" w:color="181717"/>
                    <w:left w:val="single" w:sz="4" w:space="0" w:color="181717"/>
                    <w:bottom w:val="single" w:sz="4" w:space="0" w:color="181717"/>
                    <w:right w:val="single" w:sz="4" w:space="0" w:color="181717"/>
                  </w:tcBorders>
                  <w:shd w:val="clear" w:color="auto" w:fill="BFBFBF"/>
                  <w:vAlign w:val="bottom"/>
                </w:tcPr>
                <w:p w14:paraId="5ED52A14" w14:textId="77777777" w:rsidR="00CB7A57" w:rsidRDefault="003B1641">
                  <w:pPr>
                    <w:framePr w:wrap="around" w:vAnchor="text" w:hAnchor="margin"/>
                    <w:spacing w:after="0" w:line="259" w:lineRule="auto"/>
                    <w:ind w:left="0" w:right="426" w:firstLine="0"/>
                    <w:suppressOverlap/>
                    <w:jc w:val="center"/>
                  </w:pPr>
                  <w:r>
                    <w:rPr>
                      <w:rFonts w:ascii="Calibri" w:eastAsia="Calibri" w:hAnsi="Calibri" w:cs="Calibri"/>
                      <w:sz w:val="22"/>
                    </w:rPr>
                    <w:t>Rank by Return</w:t>
                  </w:r>
                </w:p>
              </w:tc>
              <w:tc>
                <w:tcPr>
                  <w:tcW w:w="2356" w:type="dxa"/>
                  <w:tcBorders>
                    <w:top w:val="single" w:sz="4" w:space="0" w:color="181717"/>
                    <w:left w:val="single" w:sz="4" w:space="0" w:color="181717"/>
                    <w:bottom w:val="single" w:sz="4" w:space="0" w:color="181717"/>
                    <w:right w:val="single" w:sz="4" w:space="0" w:color="181717"/>
                  </w:tcBorders>
                  <w:shd w:val="clear" w:color="auto" w:fill="BFBFBF"/>
                </w:tcPr>
                <w:p w14:paraId="32BC24C6"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2"/>
                    </w:rPr>
                    <w:t>2006</w:t>
                  </w:r>
                </w:p>
                <w:p w14:paraId="76DB7BCB" w14:textId="77777777" w:rsidR="00CB7A57" w:rsidRDefault="003B1641">
                  <w:pPr>
                    <w:framePr w:wrap="around" w:vAnchor="text" w:hAnchor="margin"/>
                    <w:spacing w:after="0" w:line="259" w:lineRule="auto"/>
                    <w:ind w:left="0" w:right="373" w:firstLine="0"/>
                    <w:suppressOverlap/>
                    <w:jc w:val="center"/>
                  </w:pPr>
                  <w:r>
                    <w:rPr>
                      <w:rFonts w:ascii="Calibri" w:eastAsia="Calibri" w:hAnsi="Calibri" w:cs="Calibri"/>
                      <w:sz w:val="22"/>
                    </w:rPr>
                    <w:t>Fortune 500 Ranking</w:t>
                  </w:r>
                </w:p>
              </w:tc>
              <w:tc>
                <w:tcPr>
                  <w:tcW w:w="3275" w:type="dxa"/>
                  <w:tcBorders>
                    <w:top w:val="single" w:sz="4" w:space="0" w:color="181717"/>
                    <w:left w:val="single" w:sz="4" w:space="0" w:color="181717"/>
                    <w:bottom w:val="single" w:sz="4" w:space="0" w:color="181717"/>
                    <w:right w:val="single" w:sz="4" w:space="0" w:color="181717"/>
                  </w:tcBorders>
                  <w:shd w:val="clear" w:color="auto" w:fill="BFBFBF"/>
                  <w:vAlign w:val="bottom"/>
                </w:tcPr>
                <w:p w14:paraId="5D291FF8" w14:textId="77777777" w:rsidR="00CB7A57" w:rsidRDefault="003B1641">
                  <w:pPr>
                    <w:framePr w:wrap="around" w:vAnchor="text" w:hAnchor="margin"/>
                    <w:spacing w:after="0" w:line="259" w:lineRule="auto"/>
                    <w:ind w:left="0" w:right="640" w:firstLine="0"/>
                    <w:suppressOverlap/>
                    <w:jc w:val="center"/>
                  </w:pPr>
                  <w:r>
                    <w:rPr>
                      <w:rFonts w:ascii="Calibri" w:eastAsia="Calibri" w:hAnsi="Calibri" w:cs="Calibri"/>
                      <w:sz w:val="22"/>
                    </w:rPr>
                    <w:t>Top 10 Fortune 500 Firms</w:t>
                  </w:r>
                </w:p>
              </w:tc>
              <w:tc>
                <w:tcPr>
                  <w:tcW w:w="2354" w:type="dxa"/>
                  <w:tcBorders>
                    <w:top w:val="single" w:sz="4" w:space="0" w:color="181717"/>
                    <w:left w:val="single" w:sz="4" w:space="0" w:color="181717"/>
                    <w:bottom w:val="single" w:sz="4" w:space="0" w:color="181717"/>
                    <w:right w:val="single" w:sz="4" w:space="0" w:color="181717"/>
                  </w:tcBorders>
                  <w:shd w:val="clear" w:color="auto" w:fill="BFBFBF"/>
                </w:tcPr>
                <w:p w14:paraId="0DBC4570" w14:textId="77777777" w:rsidR="00CB7A57" w:rsidRDefault="003B1641">
                  <w:pPr>
                    <w:framePr w:wrap="around" w:vAnchor="text" w:hAnchor="margin"/>
                    <w:spacing w:after="0" w:line="232" w:lineRule="auto"/>
                    <w:ind w:left="0" w:right="432" w:firstLine="0"/>
                    <w:suppressOverlap/>
                    <w:jc w:val="center"/>
                  </w:pPr>
                  <w:r>
                    <w:rPr>
                      <w:rFonts w:ascii="Calibri" w:eastAsia="Calibri" w:hAnsi="Calibri" w:cs="Calibri"/>
                      <w:sz w:val="22"/>
                    </w:rPr>
                    <w:t>Shareholder Return %</w:t>
                  </w:r>
                </w:p>
                <w:p w14:paraId="0AC09316" w14:textId="77777777" w:rsidR="00CB7A57" w:rsidRDefault="003B1641">
                  <w:pPr>
                    <w:framePr w:wrap="around" w:vAnchor="text" w:hAnchor="margin"/>
                    <w:spacing w:after="0" w:line="259" w:lineRule="auto"/>
                    <w:ind w:left="0" w:right="647" w:firstLine="0"/>
                    <w:suppressOverlap/>
                    <w:jc w:val="center"/>
                  </w:pPr>
                  <w:r>
                    <w:rPr>
                      <w:rFonts w:ascii="Calibri" w:eastAsia="Calibri" w:hAnsi="Calibri" w:cs="Calibri"/>
                      <w:sz w:val="22"/>
                    </w:rPr>
                    <w:t>1995–2005</w:t>
                  </w:r>
                </w:p>
              </w:tc>
            </w:tr>
            <w:tr w:rsidR="00CB7A57" w14:paraId="758C3D8C" w14:textId="77777777">
              <w:trPr>
                <w:trHeight w:val="289"/>
              </w:trPr>
              <w:tc>
                <w:tcPr>
                  <w:tcW w:w="2088" w:type="dxa"/>
                  <w:tcBorders>
                    <w:top w:val="single" w:sz="4" w:space="0" w:color="181717"/>
                    <w:left w:val="single" w:sz="4" w:space="0" w:color="181717"/>
                    <w:bottom w:val="single" w:sz="4" w:space="0" w:color="181717"/>
                    <w:right w:val="single" w:sz="4" w:space="0" w:color="181717"/>
                  </w:tcBorders>
                </w:tcPr>
                <w:p w14:paraId="1B4C1237" w14:textId="77777777" w:rsidR="00CB7A57" w:rsidRDefault="003B1641">
                  <w:pPr>
                    <w:framePr w:wrap="around" w:vAnchor="text" w:hAnchor="margin"/>
                    <w:spacing w:after="0" w:line="259" w:lineRule="auto"/>
                    <w:ind w:left="0" w:right="861" w:firstLine="0"/>
                    <w:suppressOverlap/>
                    <w:jc w:val="center"/>
                  </w:pPr>
                  <w:r>
                    <w:rPr>
                      <w:rFonts w:ascii="Calibri" w:eastAsia="Calibri" w:hAnsi="Calibri" w:cs="Calibri"/>
                      <w:sz w:val="20"/>
                    </w:rPr>
                    <w:t>1</w:t>
                  </w:r>
                </w:p>
              </w:tc>
              <w:tc>
                <w:tcPr>
                  <w:tcW w:w="2356" w:type="dxa"/>
                  <w:tcBorders>
                    <w:top w:val="single" w:sz="4" w:space="0" w:color="181717"/>
                    <w:left w:val="single" w:sz="4" w:space="0" w:color="181717"/>
                    <w:bottom w:val="single" w:sz="4" w:space="0" w:color="181717"/>
                    <w:right w:val="single" w:sz="4" w:space="0" w:color="181717"/>
                  </w:tcBorders>
                </w:tcPr>
                <w:p w14:paraId="50638D70"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132</w:t>
                  </w:r>
                </w:p>
              </w:tc>
              <w:tc>
                <w:tcPr>
                  <w:tcW w:w="3275" w:type="dxa"/>
                  <w:tcBorders>
                    <w:top w:val="single" w:sz="4" w:space="0" w:color="181717"/>
                    <w:left w:val="single" w:sz="4" w:space="0" w:color="181717"/>
                    <w:bottom w:val="single" w:sz="4" w:space="0" w:color="181717"/>
                    <w:right w:val="single" w:sz="4" w:space="0" w:color="181717"/>
                  </w:tcBorders>
                </w:tcPr>
                <w:p w14:paraId="1635EA24"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NVR</w:t>
                  </w:r>
                </w:p>
              </w:tc>
              <w:tc>
                <w:tcPr>
                  <w:tcW w:w="2354" w:type="dxa"/>
                  <w:tcBorders>
                    <w:top w:val="single" w:sz="4" w:space="0" w:color="181717"/>
                    <w:left w:val="single" w:sz="4" w:space="0" w:color="181717"/>
                    <w:bottom w:val="single" w:sz="4" w:space="0" w:color="181717"/>
                    <w:right w:val="single" w:sz="4" w:space="0" w:color="181717"/>
                  </w:tcBorders>
                </w:tcPr>
                <w:p w14:paraId="2D64227F"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53.0</w:t>
                  </w:r>
                </w:p>
              </w:tc>
            </w:tr>
            <w:tr w:rsidR="00CB7A57" w14:paraId="5DD6E0B0"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202214C7" w14:textId="77777777" w:rsidR="00CB7A57" w:rsidRDefault="003B1641">
                  <w:pPr>
                    <w:framePr w:wrap="around" w:vAnchor="text" w:hAnchor="margin"/>
                    <w:spacing w:after="0" w:line="259" w:lineRule="auto"/>
                    <w:ind w:left="0" w:right="861" w:firstLine="0"/>
                    <w:suppressOverlap/>
                    <w:jc w:val="center"/>
                  </w:pPr>
                  <w:r>
                    <w:rPr>
                      <w:rFonts w:ascii="Calibri" w:eastAsia="Calibri" w:hAnsi="Calibri" w:cs="Calibri"/>
                      <w:sz w:val="20"/>
                    </w:rPr>
                    <w:t>2</w:t>
                  </w:r>
                </w:p>
              </w:tc>
              <w:tc>
                <w:tcPr>
                  <w:tcW w:w="2356" w:type="dxa"/>
                  <w:tcBorders>
                    <w:top w:val="single" w:sz="4" w:space="0" w:color="181717"/>
                    <w:left w:val="single" w:sz="4" w:space="0" w:color="181717"/>
                    <w:bottom w:val="single" w:sz="4" w:space="0" w:color="181717"/>
                    <w:right w:val="single" w:sz="4" w:space="0" w:color="181717"/>
                  </w:tcBorders>
                </w:tcPr>
                <w:p w14:paraId="5683E5F1"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225</w:t>
                  </w:r>
                </w:p>
              </w:tc>
              <w:tc>
                <w:tcPr>
                  <w:tcW w:w="3275" w:type="dxa"/>
                  <w:tcBorders>
                    <w:top w:val="single" w:sz="4" w:space="0" w:color="181717"/>
                    <w:left w:val="single" w:sz="4" w:space="0" w:color="181717"/>
                    <w:bottom w:val="single" w:sz="4" w:space="0" w:color="181717"/>
                    <w:right w:val="single" w:sz="4" w:space="0" w:color="181717"/>
                  </w:tcBorders>
                </w:tcPr>
                <w:p w14:paraId="1D192B9D"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Dell</w:t>
                  </w:r>
                </w:p>
              </w:tc>
              <w:tc>
                <w:tcPr>
                  <w:tcW w:w="2354" w:type="dxa"/>
                  <w:tcBorders>
                    <w:top w:val="single" w:sz="4" w:space="0" w:color="181717"/>
                    <w:left w:val="single" w:sz="4" w:space="0" w:color="181717"/>
                    <w:bottom w:val="single" w:sz="4" w:space="0" w:color="181717"/>
                    <w:right w:val="single" w:sz="4" w:space="0" w:color="181717"/>
                  </w:tcBorders>
                </w:tcPr>
                <w:p w14:paraId="69AAF070"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39.4</w:t>
                  </w:r>
                </w:p>
              </w:tc>
            </w:tr>
            <w:tr w:rsidR="00CB7A57" w14:paraId="5219654D"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17769E46" w14:textId="77777777" w:rsidR="00CB7A57" w:rsidRDefault="003B1641">
                  <w:pPr>
                    <w:framePr w:wrap="around" w:vAnchor="text" w:hAnchor="margin"/>
                    <w:spacing w:after="0" w:line="259" w:lineRule="auto"/>
                    <w:ind w:left="0" w:right="861" w:firstLine="0"/>
                    <w:suppressOverlap/>
                    <w:jc w:val="center"/>
                  </w:pPr>
                  <w:r>
                    <w:rPr>
                      <w:rFonts w:ascii="Calibri" w:eastAsia="Calibri" w:hAnsi="Calibri" w:cs="Calibri"/>
                      <w:sz w:val="20"/>
                    </w:rPr>
                    <w:t>3</w:t>
                  </w:r>
                </w:p>
              </w:tc>
              <w:tc>
                <w:tcPr>
                  <w:tcW w:w="2356" w:type="dxa"/>
                  <w:tcBorders>
                    <w:top w:val="single" w:sz="4" w:space="0" w:color="181717"/>
                    <w:left w:val="single" w:sz="4" w:space="0" w:color="181717"/>
                    <w:bottom w:val="single" w:sz="4" w:space="0" w:color="181717"/>
                    <w:right w:val="single" w:sz="4" w:space="0" w:color="181717"/>
                  </w:tcBorders>
                </w:tcPr>
                <w:p w14:paraId="3CA2B135" w14:textId="77777777" w:rsidR="00CB7A57" w:rsidRDefault="003B1641">
                  <w:pPr>
                    <w:framePr w:wrap="around" w:vAnchor="text" w:hAnchor="margin"/>
                    <w:spacing w:after="0" w:line="259" w:lineRule="auto"/>
                    <w:ind w:left="0" w:right="559" w:firstLine="0"/>
                    <w:suppressOverlap/>
                    <w:jc w:val="center"/>
                  </w:pPr>
                  <w:r>
                    <w:rPr>
                      <w:rFonts w:ascii="Calibri" w:eastAsia="Calibri" w:hAnsi="Calibri" w:cs="Calibri"/>
                      <w:sz w:val="20"/>
                    </w:rPr>
                    <w:t>10</w:t>
                  </w:r>
                </w:p>
              </w:tc>
              <w:tc>
                <w:tcPr>
                  <w:tcW w:w="3275" w:type="dxa"/>
                  <w:tcBorders>
                    <w:top w:val="single" w:sz="4" w:space="0" w:color="181717"/>
                    <w:left w:val="single" w:sz="4" w:space="0" w:color="181717"/>
                    <w:bottom w:val="single" w:sz="4" w:space="0" w:color="181717"/>
                    <w:right w:val="single" w:sz="4" w:space="0" w:color="181717"/>
                  </w:tcBorders>
                </w:tcPr>
                <w:p w14:paraId="4875068F"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Jabil Circuit</w:t>
                  </w:r>
                </w:p>
              </w:tc>
              <w:tc>
                <w:tcPr>
                  <w:tcW w:w="2354" w:type="dxa"/>
                  <w:tcBorders>
                    <w:top w:val="single" w:sz="4" w:space="0" w:color="181717"/>
                    <w:left w:val="single" w:sz="4" w:space="0" w:color="181717"/>
                    <w:bottom w:val="single" w:sz="4" w:space="0" w:color="181717"/>
                    <w:right w:val="single" w:sz="4" w:space="0" w:color="181717"/>
                  </w:tcBorders>
                </w:tcPr>
                <w:p w14:paraId="4C8980A7"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38.7</w:t>
                  </w:r>
                </w:p>
              </w:tc>
            </w:tr>
            <w:tr w:rsidR="00CB7A57" w14:paraId="35A67F5F"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3350249F" w14:textId="77777777" w:rsidR="00CB7A57" w:rsidRDefault="003B1641">
                  <w:pPr>
                    <w:framePr w:wrap="around" w:vAnchor="text" w:hAnchor="margin"/>
                    <w:spacing w:after="0" w:line="259" w:lineRule="auto"/>
                    <w:ind w:left="0" w:right="861" w:firstLine="0"/>
                    <w:suppressOverlap/>
                    <w:jc w:val="center"/>
                  </w:pPr>
                  <w:r>
                    <w:rPr>
                      <w:rFonts w:ascii="Calibri" w:eastAsia="Calibri" w:hAnsi="Calibri" w:cs="Calibri"/>
                      <w:sz w:val="20"/>
                    </w:rPr>
                    <w:t>4</w:t>
                  </w:r>
                </w:p>
              </w:tc>
              <w:tc>
                <w:tcPr>
                  <w:tcW w:w="2356" w:type="dxa"/>
                  <w:tcBorders>
                    <w:top w:val="single" w:sz="4" w:space="0" w:color="181717"/>
                    <w:left w:val="single" w:sz="4" w:space="0" w:color="181717"/>
                    <w:bottom w:val="single" w:sz="4" w:space="0" w:color="181717"/>
                    <w:right w:val="single" w:sz="4" w:space="0" w:color="181717"/>
                  </w:tcBorders>
                </w:tcPr>
                <w:p w14:paraId="2499C5F3"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448</w:t>
                  </w:r>
                </w:p>
              </w:tc>
              <w:tc>
                <w:tcPr>
                  <w:tcW w:w="3275" w:type="dxa"/>
                  <w:tcBorders>
                    <w:top w:val="single" w:sz="4" w:space="0" w:color="181717"/>
                    <w:left w:val="single" w:sz="4" w:space="0" w:color="181717"/>
                    <w:bottom w:val="single" w:sz="4" w:space="0" w:color="181717"/>
                    <w:right w:val="single" w:sz="4" w:space="0" w:color="181717"/>
                  </w:tcBorders>
                </w:tcPr>
                <w:p w14:paraId="3A4BBB1E"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Best Buy</w:t>
                  </w:r>
                </w:p>
              </w:tc>
              <w:tc>
                <w:tcPr>
                  <w:tcW w:w="2354" w:type="dxa"/>
                  <w:tcBorders>
                    <w:top w:val="single" w:sz="4" w:space="0" w:color="181717"/>
                    <w:left w:val="single" w:sz="4" w:space="0" w:color="181717"/>
                    <w:bottom w:val="single" w:sz="4" w:space="0" w:color="181717"/>
                    <w:right w:val="single" w:sz="4" w:space="0" w:color="181717"/>
                  </w:tcBorders>
                </w:tcPr>
                <w:p w14:paraId="06563E73"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37.7</w:t>
                  </w:r>
                </w:p>
              </w:tc>
            </w:tr>
            <w:tr w:rsidR="00CB7A57" w14:paraId="27AD868D"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4F711ED3" w14:textId="77777777" w:rsidR="00CB7A57" w:rsidRDefault="003B1641">
                  <w:pPr>
                    <w:framePr w:wrap="around" w:vAnchor="text" w:hAnchor="margin"/>
                    <w:spacing w:after="0" w:line="259" w:lineRule="auto"/>
                    <w:ind w:left="0" w:right="861" w:firstLine="0"/>
                    <w:suppressOverlap/>
                    <w:jc w:val="center"/>
                  </w:pPr>
                  <w:r>
                    <w:rPr>
                      <w:rFonts w:ascii="Calibri" w:eastAsia="Calibri" w:hAnsi="Calibri" w:cs="Calibri"/>
                      <w:sz w:val="20"/>
                    </w:rPr>
                    <w:t>5</w:t>
                  </w:r>
                </w:p>
              </w:tc>
              <w:tc>
                <w:tcPr>
                  <w:tcW w:w="2356" w:type="dxa"/>
                  <w:tcBorders>
                    <w:top w:val="single" w:sz="4" w:space="0" w:color="181717"/>
                    <w:left w:val="single" w:sz="4" w:space="0" w:color="181717"/>
                    <w:bottom w:val="single" w:sz="4" w:space="0" w:color="181717"/>
                    <w:right w:val="single" w:sz="4" w:space="0" w:color="181717"/>
                  </w:tcBorders>
                </w:tcPr>
                <w:p w14:paraId="41B87126"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335</w:t>
                  </w:r>
                </w:p>
              </w:tc>
              <w:tc>
                <w:tcPr>
                  <w:tcW w:w="3275" w:type="dxa"/>
                  <w:tcBorders>
                    <w:top w:val="single" w:sz="4" w:space="0" w:color="181717"/>
                    <w:left w:val="single" w:sz="4" w:space="0" w:color="181717"/>
                    <w:bottom w:val="single" w:sz="4" w:space="0" w:color="181717"/>
                    <w:right w:val="single" w:sz="4" w:space="0" w:color="181717"/>
                  </w:tcBorders>
                </w:tcPr>
                <w:p w14:paraId="5BD9993E"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Frontier Oil</w:t>
                  </w:r>
                </w:p>
              </w:tc>
              <w:tc>
                <w:tcPr>
                  <w:tcW w:w="2354" w:type="dxa"/>
                  <w:tcBorders>
                    <w:top w:val="single" w:sz="4" w:space="0" w:color="181717"/>
                    <w:left w:val="single" w:sz="4" w:space="0" w:color="181717"/>
                    <w:bottom w:val="single" w:sz="4" w:space="0" w:color="181717"/>
                    <w:right w:val="single" w:sz="4" w:space="0" w:color="181717"/>
                  </w:tcBorders>
                </w:tcPr>
                <w:p w14:paraId="45D8C294"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37.6</w:t>
                  </w:r>
                </w:p>
              </w:tc>
            </w:tr>
            <w:tr w:rsidR="00CB7A57" w14:paraId="20E20554"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470FA072" w14:textId="77777777" w:rsidR="00CB7A57" w:rsidRDefault="003B1641">
                  <w:pPr>
                    <w:framePr w:wrap="around" w:vAnchor="text" w:hAnchor="margin"/>
                    <w:spacing w:after="0" w:line="259" w:lineRule="auto"/>
                    <w:ind w:left="0" w:right="861" w:firstLine="0"/>
                    <w:suppressOverlap/>
                    <w:jc w:val="center"/>
                  </w:pPr>
                  <w:r>
                    <w:rPr>
                      <w:rFonts w:ascii="Calibri" w:eastAsia="Calibri" w:hAnsi="Calibri" w:cs="Calibri"/>
                      <w:sz w:val="20"/>
                    </w:rPr>
                    <w:t>6</w:t>
                  </w:r>
                </w:p>
              </w:tc>
              <w:tc>
                <w:tcPr>
                  <w:tcW w:w="2356" w:type="dxa"/>
                  <w:tcBorders>
                    <w:top w:val="single" w:sz="4" w:space="0" w:color="181717"/>
                    <w:left w:val="single" w:sz="4" w:space="0" w:color="181717"/>
                    <w:bottom w:val="single" w:sz="4" w:space="0" w:color="181717"/>
                    <w:right w:val="single" w:sz="4" w:space="0" w:color="181717"/>
                  </w:tcBorders>
                </w:tcPr>
                <w:p w14:paraId="3D8B0B5B"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131</w:t>
                  </w:r>
                </w:p>
              </w:tc>
              <w:tc>
                <w:tcPr>
                  <w:tcW w:w="3275" w:type="dxa"/>
                  <w:tcBorders>
                    <w:top w:val="single" w:sz="4" w:space="0" w:color="181717"/>
                    <w:left w:val="single" w:sz="4" w:space="0" w:color="181717"/>
                    <w:bottom w:val="single" w:sz="4" w:space="0" w:color="181717"/>
                    <w:right w:val="single" w:sz="4" w:space="0" w:color="181717"/>
                  </w:tcBorders>
                </w:tcPr>
                <w:p w14:paraId="1A3F8903"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Ryland Group</w:t>
                  </w:r>
                </w:p>
              </w:tc>
              <w:tc>
                <w:tcPr>
                  <w:tcW w:w="2354" w:type="dxa"/>
                  <w:tcBorders>
                    <w:top w:val="single" w:sz="4" w:space="0" w:color="181717"/>
                    <w:left w:val="single" w:sz="4" w:space="0" w:color="181717"/>
                    <w:bottom w:val="single" w:sz="4" w:space="0" w:color="181717"/>
                    <w:right w:val="single" w:sz="4" w:space="0" w:color="181717"/>
                  </w:tcBorders>
                </w:tcPr>
                <w:p w14:paraId="12780199"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36.8</w:t>
                  </w:r>
                </w:p>
              </w:tc>
            </w:tr>
            <w:tr w:rsidR="00CB7A57" w14:paraId="311886D1"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19F32A94" w14:textId="77777777" w:rsidR="00CB7A57" w:rsidRDefault="003B1641">
                  <w:pPr>
                    <w:framePr w:wrap="around" w:vAnchor="text" w:hAnchor="margin"/>
                    <w:spacing w:after="0" w:line="259" w:lineRule="auto"/>
                    <w:ind w:left="0" w:right="861" w:firstLine="0"/>
                    <w:suppressOverlap/>
                    <w:jc w:val="center"/>
                  </w:pPr>
                  <w:r>
                    <w:rPr>
                      <w:rFonts w:ascii="Calibri" w:eastAsia="Calibri" w:hAnsi="Calibri" w:cs="Calibri"/>
                      <w:sz w:val="20"/>
                    </w:rPr>
                    <w:t>7</w:t>
                  </w:r>
                </w:p>
              </w:tc>
              <w:tc>
                <w:tcPr>
                  <w:tcW w:w="2356" w:type="dxa"/>
                  <w:tcBorders>
                    <w:top w:val="single" w:sz="4" w:space="0" w:color="181717"/>
                    <w:left w:val="single" w:sz="4" w:space="0" w:color="181717"/>
                    <w:bottom w:val="single" w:sz="4" w:space="0" w:color="181717"/>
                    <w:right w:val="single" w:sz="4" w:space="0" w:color="181717"/>
                  </w:tcBorders>
                </w:tcPr>
                <w:p w14:paraId="20B5390C"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123</w:t>
                  </w:r>
                </w:p>
              </w:tc>
              <w:tc>
                <w:tcPr>
                  <w:tcW w:w="3275" w:type="dxa"/>
                  <w:tcBorders>
                    <w:top w:val="single" w:sz="4" w:space="0" w:color="181717"/>
                    <w:left w:val="single" w:sz="4" w:space="0" w:color="181717"/>
                    <w:bottom w:val="single" w:sz="4" w:space="0" w:color="181717"/>
                    <w:right w:val="single" w:sz="4" w:space="0" w:color="181717"/>
                  </w:tcBorders>
                </w:tcPr>
                <w:p w14:paraId="635A4D8F"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Whole Foods Market</w:t>
                  </w:r>
                </w:p>
              </w:tc>
              <w:tc>
                <w:tcPr>
                  <w:tcW w:w="2354" w:type="dxa"/>
                  <w:tcBorders>
                    <w:top w:val="single" w:sz="4" w:space="0" w:color="181717"/>
                    <w:left w:val="single" w:sz="4" w:space="0" w:color="181717"/>
                    <w:bottom w:val="single" w:sz="4" w:space="0" w:color="181717"/>
                    <w:right w:val="single" w:sz="4" w:space="0" w:color="181717"/>
                  </w:tcBorders>
                </w:tcPr>
                <w:p w14:paraId="1A5E5CBD"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36.6</w:t>
                  </w:r>
                </w:p>
              </w:tc>
            </w:tr>
            <w:tr w:rsidR="00CB7A57" w14:paraId="49D97596"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14F8D6B2" w14:textId="77777777" w:rsidR="00CB7A57" w:rsidRDefault="003B1641">
                  <w:pPr>
                    <w:framePr w:wrap="around" w:vAnchor="text" w:hAnchor="margin"/>
                    <w:spacing w:after="0" w:line="259" w:lineRule="auto"/>
                    <w:ind w:left="0" w:right="861" w:firstLine="0"/>
                    <w:suppressOverlap/>
                    <w:jc w:val="center"/>
                  </w:pPr>
                  <w:r>
                    <w:rPr>
                      <w:rFonts w:ascii="Calibri" w:eastAsia="Calibri" w:hAnsi="Calibri" w:cs="Calibri"/>
                      <w:sz w:val="20"/>
                    </w:rPr>
                    <w:t>8</w:t>
                  </w:r>
                </w:p>
              </w:tc>
              <w:tc>
                <w:tcPr>
                  <w:tcW w:w="2356" w:type="dxa"/>
                  <w:tcBorders>
                    <w:top w:val="single" w:sz="4" w:space="0" w:color="181717"/>
                    <w:left w:val="single" w:sz="4" w:space="0" w:color="181717"/>
                    <w:bottom w:val="single" w:sz="4" w:space="0" w:color="181717"/>
                    <w:right w:val="single" w:sz="4" w:space="0" w:color="181717"/>
                  </w:tcBorders>
                </w:tcPr>
                <w:p w14:paraId="29512B2E" w14:textId="77777777" w:rsidR="00CB7A57" w:rsidRDefault="003B1641">
                  <w:pPr>
                    <w:framePr w:wrap="around" w:vAnchor="text" w:hAnchor="margin"/>
                    <w:spacing w:after="0" w:line="259" w:lineRule="auto"/>
                    <w:ind w:left="0" w:right="559" w:firstLine="0"/>
                    <w:suppressOverlap/>
                    <w:jc w:val="center"/>
                  </w:pPr>
                  <w:r>
                    <w:rPr>
                      <w:rFonts w:ascii="Calibri" w:eastAsia="Calibri" w:hAnsi="Calibri" w:cs="Calibri"/>
                      <w:sz w:val="20"/>
                    </w:rPr>
                    <w:t>96</w:t>
                  </w:r>
                </w:p>
              </w:tc>
              <w:tc>
                <w:tcPr>
                  <w:tcW w:w="3275" w:type="dxa"/>
                  <w:tcBorders>
                    <w:top w:val="single" w:sz="4" w:space="0" w:color="181717"/>
                    <w:left w:val="single" w:sz="4" w:space="0" w:color="181717"/>
                    <w:bottom w:val="single" w:sz="4" w:space="0" w:color="181717"/>
                    <w:right w:val="single" w:sz="4" w:space="0" w:color="181717"/>
                  </w:tcBorders>
                </w:tcPr>
                <w:p w14:paraId="29F24640"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Holdings</w:t>
                  </w:r>
                </w:p>
              </w:tc>
              <w:tc>
                <w:tcPr>
                  <w:tcW w:w="2354" w:type="dxa"/>
                  <w:tcBorders>
                    <w:top w:val="single" w:sz="4" w:space="0" w:color="181717"/>
                    <w:left w:val="single" w:sz="4" w:space="0" w:color="181717"/>
                    <w:bottom w:val="single" w:sz="4" w:space="0" w:color="181717"/>
                    <w:right w:val="single" w:sz="4" w:space="0" w:color="181717"/>
                  </w:tcBorders>
                </w:tcPr>
                <w:p w14:paraId="4E7DC41D"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33.8</w:t>
                  </w:r>
                </w:p>
              </w:tc>
            </w:tr>
            <w:tr w:rsidR="00CB7A57" w14:paraId="412549E3"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3680C84B" w14:textId="77777777" w:rsidR="00CB7A57" w:rsidRDefault="003B1641">
                  <w:pPr>
                    <w:framePr w:wrap="around" w:vAnchor="text" w:hAnchor="margin"/>
                    <w:spacing w:after="0" w:line="259" w:lineRule="auto"/>
                    <w:ind w:left="0" w:right="861" w:firstLine="0"/>
                    <w:suppressOverlap/>
                    <w:jc w:val="center"/>
                  </w:pPr>
                  <w:r>
                    <w:rPr>
                      <w:rFonts w:ascii="Calibri" w:eastAsia="Calibri" w:hAnsi="Calibri" w:cs="Calibri"/>
                      <w:sz w:val="20"/>
                    </w:rPr>
                    <w:t>9</w:t>
                  </w:r>
                </w:p>
              </w:tc>
              <w:tc>
                <w:tcPr>
                  <w:tcW w:w="2356" w:type="dxa"/>
                  <w:tcBorders>
                    <w:top w:val="single" w:sz="4" w:space="0" w:color="181717"/>
                    <w:left w:val="single" w:sz="4" w:space="0" w:color="181717"/>
                    <w:bottom w:val="single" w:sz="4" w:space="0" w:color="181717"/>
                    <w:right w:val="single" w:sz="4" w:space="0" w:color="181717"/>
                  </w:tcBorders>
                </w:tcPr>
                <w:p w14:paraId="0590C60F"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181</w:t>
                  </w:r>
                </w:p>
              </w:tc>
              <w:tc>
                <w:tcPr>
                  <w:tcW w:w="3275" w:type="dxa"/>
                  <w:tcBorders>
                    <w:top w:val="single" w:sz="4" w:space="0" w:color="181717"/>
                    <w:left w:val="single" w:sz="4" w:space="0" w:color="181717"/>
                    <w:bottom w:val="single" w:sz="4" w:space="0" w:color="181717"/>
                    <w:right w:val="single" w:sz="4" w:space="0" w:color="181717"/>
                  </w:tcBorders>
                </w:tcPr>
                <w:p w14:paraId="1E0AD4A4"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Qualcomm</w:t>
                  </w:r>
                </w:p>
              </w:tc>
              <w:tc>
                <w:tcPr>
                  <w:tcW w:w="2354" w:type="dxa"/>
                  <w:tcBorders>
                    <w:top w:val="single" w:sz="4" w:space="0" w:color="181717"/>
                    <w:left w:val="single" w:sz="4" w:space="0" w:color="181717"/>
                    <w:bottom w:val="single" w:sz="4" w:space="0" w:color="181717"/>
                    <w:right w:val="single" w:sz="4" w:space="0" w:color="181717"/>
                  </w:tcBorders>
                </w:tcPr>
                <w:p w14:paraId="208C4AFB"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32.5</w:t>
                  </w:r>
                </w:p>
              </w:tc>
            </w:tr>
            <w:tr w:rsidR="00CB7A57" w14:paraId="01B2FC76"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4E9066FA" w14:textId="77777777" w:rsidR="00CB7A57" w:rsidRDefault="003B1641">
                  <w:pPr>
                    <w:framePr w:wrap="around" w:vAnchor="text" w:hAnchor="margin"/>
                    <w:spacing w:after="0" w:line="259" w:lineRule="auto"/>
                    <w:ind w:left="0" w:right="778" w:firstLine="0"/>
                    <w:suppressOverlap/>
                    <w:jc w:val="center"/>
                  </w:pPr>
                  <w:r>
                    <w:rPr>
                      <w:rFonts w:ascii="Calibri" w:eastAsia="Calibri" w:hAnsi="Calibri" w:cs="Calibri"/>
                      <w:sz w:val="20"/>
                    </w:rPr>
                    <w:t>10</w:t>
                  </w:r>
                </w:p>
              </w:tc>
              <w:tc>
                <w:tcPr>
                  <w:tcW w:w="2356" w:type="dxa"/>
                  <w:tcBorders>
                    <w:top w:val="single" w:sz="4" w:space="0" w:color="181717"/>
                    <w:left w:val="single" w:sz="4" w:space="0" w:color="181717"/>
                    <w:bottom w:val="single" w:sz="4" w:space="0" w:color="181717"/>
                    <w:right w:val="single" w:sz="4" w:space="0" w:color="181717"/>
                  </w:tcBorders>
                </w:tcPr>
                <w:p w14:paraId="14CB52AC"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330</w:t>
                  </w:r>
                </w:p>
              </w:tc>
              <w:tc>
                <w:tcPr>
                  <w:tcW w:w="3275" w:type="dxa"/>
                  <w:tcBorders>
                    <w:top w:val="single" w:sz="4" w:space="0" w:color="181717"/>
                    <w:left w:val="single" w:sz="4" w:space="0" w:color="181717"/>
                    <w:bottom w:val="single" w:sz="4" w:space="0" w:color="181717"/>
                    <w:right w:val="single" w:sz="4" w:space="0" w:color="181717"/>
                  </w:tcBorders>
                </w:tcPr>
                <w:p w14:paraId="572F5FC2"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Kinder Morgan Energy</w:t>
                  </w:r>
                </w:p>
              </w:tc>
              <w:tc>
                <w:tcPr>
                  <w:tcW w:w="2354" w:type="dxa"/>
                  <w:tcBorders>
                    <w:top w:val="single" w:sz="4" w:space="0" w:color="181717"/>
                    <w:left w:val="single" w:sz="4" w:space="0" w:color="181717"/>
                    <w:bottom w:val="single" w:sz="4" w:space="0" w:color="181717"/>
                    <w:right w:val="single" w:sz="4" w:space="0" w:color="181717"/>
                  </w:tcBorders>
                </w:tcPr>
                <w:p w14:paraId="4F79760F"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31.6</w:t>
                  </w:r>
                </w:p>
              </w:tc>
            </w:tr>
            <w:tr w:rsidR="00CB7A57" w14:paraId="7DF2417D"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4A8BFAA1" w14:textId="77777777" w:rsidR="00CB7A57" w:rsidRDefault="00CB7A57">
                  <w:pPr>
                    <w:framePr w:wrap="around" w:vAnchor="text" w:hAnchor="margin"/>
                    <w:spacing w:after="160" w:line="259" w:lineRule="auto"/>
                    <w:ind w:left="0" w:firstLine="0"/>
                    <w:suppressOverlap/>
                    <w:jc w:val="left"/>
                  </w:pPr>
                </w:p>
              </w:tc>
              <w:tc>
                <w:tcPr>
                  <w:tcW w:w="2356" w:type="dxa"/>
                  <w:tcBorders>
                    <w:top w:val="single" w:sz="4" w:space="0" w:color="181717"/>
                    <w:left w:val="single" w:sz="4" w:space="0" w:color="181717"/>
                    <w:bottom w:val="single" w:sz="4" w:space="0" w:color="181717"/>
                    <w:right w:val="single" w:sz="4" w:space="0" w:color="181717"/>
                  </w:tcBorders>
                </w:tcPr>
                <w:p w14:paraId="771AE26E" w14:textId="77777777" w:rsidR="00CB7A57" w:rsidRDefault="00CB7A57">
                  <w:pPr>
                    <w:framePr w:wrap="around" w:vAnchor="text" w:hAnchor="margin"/>
                    <w:spacing w:after="160" w:line="259" w:lineRule="auto"/>
                    <w:ind w:left="0" w:firstLine="0"/>
                    <w:suppressOverlap/>
                    <w:jc w:val="left"/>
                  </w:pPr>
                </w:p>
              </w:tc>
              <w:tc>
                <w:tcPr>
                  <w:tcW w:w="3275" w:type="dxa"/>
                  <w:tcBorders>
                    <w:top w:val="single" w:sz="4" w:space="0" w:color="181717"/>
                    <w:left w:val="single" w:sz="4" w:space="0" w:color="181717"/>
                    <w:bottom w:val="single" w:sz="4" w:space="0" w:color="181717"/>
                    <w:right w:val="single" w:sz="4" w:space="0" w:color="181717"/>
                  </w:tcBorders>
                </w:tcPr>
                <w:p w14:paraId="5D6D950A" w14:textId="77777777" w:rsidR="00CB7A57" w:rsidRDefault="003B1641">
                  <w:pPr>
                    <w:framePr w:wrap="around" w:vAnchor="text" w:hAnchor="margin"/>
                    <w:spacing w:after="0" w:line="259" w:lineRule="auto"/>
                    <w:ind w:left="0" w:right="661" w:firstLine="0"/>
                    <w:suppressOverlap/>
                    <w:jc w:val="center"/>
                  </w:pPr>
                  <w:r>
                    <w:rPr>
                      <w:rFonts w:ascii="Calibri" w:eastAsia="Calibri" w:hAnsi="Calibri" w:cs="Calibri"/>
                      <w:b/>
                      <w:sz w:val="20"/>
                    </w:rPr>
                    <w:t>Average 10-Year Return</w:t>
                  </w:r>
                </w:p>
              </w:tc>
              <w:tc>
                <w:tcPr>
                  <w:tcW w:w="2354" w:type="dxa"/>
                  <w:tcBorders>
                    <w:top w:val="single" w:sz="4" w:space="0" w:color="181717"/>
                    <w:left w:val="single" w:sz="4" w:space="0" w:color="181717"/>
                    <w:bottom w:val="single" w:sz="4" w:space="0" w:color="181717"/>
                    <w:right w:val="single" w:sz="4" w:space="0" w:color="181717"/>
                  </w:tcBorders>
                </w:tcPr>
                <w:p w14:paraId="4FFB7CDE" w14:textId="77777777" w:rsidR="00CB7A57" w:rsidRDefault="003B1641">
                  <w:pPr>
                    <w:framePr w:wrap="around" w:vAnchor="text" w:hAnchor="margin"/>
                    <w:spacing w:after="0" w:line="259" w:lineRule="auto"/>
                    <w:ind w:left="0" w:right="647" w:firstLine="0"/>
                    <w:suppressOverlap/>
                    <w:jc w:val="center"/>
                  </w:pPr>
                  <w:r>
                    <w:rPr>
                      <w:rFonts w:ascii="Calibri" w:eastAsia="Calibri" w:hAnsi="Calibri" w:cs="Calibri"/>
                      <w:b/>
                      <w:sz w:val="20"/>
                    </w:rPr>
                    <w:t>37.8%</w:t>
                  </w:r>
                </w:p>
              </w:tc>
            </w:tr>
            <w:tr w:rsidR="00CB7A57" w14:paraId="41A5A335" w14:textId="77777777">
              <w:trPr>
                <w:trHeight w:val="610"/>
              </w:trPr>
              <w:tc>
                <w:tcPr>
                  <w:tcW w:w="2088" w:type="dxa"/>
                  <w:tcBorders>
                    <w:top w:val="single" w:sz="4" w:space="0" w:color="181717"/>
                    <w:left w:val="single" w:sz="4" w:space="0" w:color="181717"/>
                    <w:bottom w:val="single" w:sz="4" w:space="0" w:color="181717"/>
                    <w:right w:val="single" w:sz="4" w:space="0" w:color="181717"/>
                  </w:tcBorders>
                </w:tcPr>
                <w:p w14:paraId="51C74761" w14:textId="77777777" w:rsidR="00CB7A57" w:rsidRDefault="00CB7A57">
                  <w:pPr>
                    <w:framePr w:wrap="around" w:vAnchor="text" w:hAnchor="margin"/>
                    <w:spacing w:after="160" w:line="259" w:lineRule="auto"/>
                    <w:ind w:left="0" w:firstLine="0"/>
                    <w:suppressOverlap/>
                    <w:jc w:val="left"/>
                  </w:pPr>
                </w:p>
              </w:tc>
              <w:tc>
                <w:tcPr>
                  <w:tcW w:w="2356" w:type="dxa"/>
                  <w:tcBorders>
                    <w:top w:val="single" w:sz="4" w:space="0" w:color="181717"/>
                    <w:left w:val="single" w:sz="4" w:space="0" w:color="181717"/>
                    <w:bottom w:val="single" w:sz="4" w:space="0" w:color="181717"/>
                    <w:right w:val="single" w:sz="4" w:space="0" w:color="181717"/>
                  </w:tcBorders>
                </w:tcPr>
                <w:p w14:paraId="650A2E86" w14:textId="77777777" w:rsidR="00CB7A57" w:rsidRDefault="00CB7A57">
                  <w:pPr>
                    <w:framePr w:wrap="around" w:vAnchor="text" w:hAnchor="margin"/>
                    <w:spacing w:after="160" w:line="259" w:lineRule="auto"/>
                    <w:ind w:left="0" w:firstLine="0"/>
                    <w:suppressOverlap/>
                    <w:jc w:val="left"/>
                  </w:pPr>
                </w:p>
              </w:tc>
              <w:tc>
                <w:tcPr>
                  <w:tcW w:w="3275" w:type="dxa"/>
                  <w:tcBorders>
                    <w:top w:val="single" w:sz="4" w:space="0" w:color="181717"/>
                    <w:left w:val="single" w:sz="4" w:space="0" w:color="181717"/>
                    <w:bottom w:val="single" w:sz="4" w:space="0" w:color="181717"/>
                    <w:right w:val="single" w:sz="4" w:space="0" w:color="181717"/>
                  </w:tcBorders>
                  <w:vAlign w:val="bottom"/>
                </w:tcPr>
                <w:p w14:paraId="52A7C629"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b/>
                      <w:i/>
                      <w:sz w:val="20"/>
                    </w:rPr>
                    <w:t xml:space="preserve">GoodtoGreat </w:t>
                  </w:r>
                  <w:r>
                    <w:rPr>
                      <w:rFonts w:ascii="Calibri" w:eastAsia="Calibri" w:hAnsi="Calibri" w:cs="Calibri"/>
                      <w:b/>
                      <w:sz w:val="20"/>
                    </w:rPr>
                    <w:t>Firms</w:t>
                  </w:r>
                </w:p>
              </w:tc>
              <w:tc>
                <w:tcPr>
                  <w:tcW w:w="2354" w:type="dxa"/>
                  <w:tcBorders>
                    <w:top w:val="single" w:sz="4" w:space="0" w:color="181717"/>
                    <w:left w:val="single" w:sz="4" w:space="0" w:color="181717"/>
                    <w:bottom w:val="single" w:sz="4" w:space="0" w:color="181717"/>
                    <w:right w:val="single" w:sz="4" w:space="0" w:color="181717"/>
                  </w:tcBorders>
                </w:tcPr>
                <w:p w14:paraId="0969F9ED" w14:textId="77777777" w:rsidR="00CB7A57" w:rsidRDefault="00CB7A57">
                  <w:pPr>
                    <w:framePr w:wrap="around" w:vAnchor="text" w:hAnchor="margin"/>
                    <w:spacing w:after="160" w:line="259" w:lineRule="auto"/>
                    <w:ind w:left="0" w:firstLine="0"/>
                    <w:suppressOverlap/>
                    <w:jc w:val="left"/>
                  </w:pPr>
                </w:p>
              </w:tc>
            </w:tr>
            <w:tr w:rsidR="00CB7A57" w14:paraId="1376E1AA" w14:textId="77777777">
              <w:trPr>
                <w:trHeight w:val="450"/>
              </w:trPr>
              <w:tc>
                <w:tcPr>
                  <w:tcW w:w="2088" w:type="dxa"/>
                  <w:tcBorders>
                    <w:top w:val="single" w:sz="4" w:space="0" w:color="181717"/>
                    <w:left w:val="single" w:sz="4" w:space="0" w:color="181717"/>
                    <w:bottom w:val="single" w:sz="4" w:space="0" w:color="181717"/>
                    <w:right w:val="single" w:sz="4" w:space="0" w:color="181717"/>
                  </w:tcBorders>
                  <w:vAlign w:val="bottom"/>
                </w:tcPr>
                <w:p w14:paraId="0A73053E" w14:textId="77777777" w:rsidR="00CB7A57" w:rsidRDefault="003B1641">
                  <w:pPr>
                    <w:framePr w:wrap="around" w:vAnchor="text" w:hAnchor="margin"/>
                    <w:spacing w:after="0" w:line="259" w:lineRule="auto"/>
                    <w:ind w:left="0" w:right="778" w:firstLine="0"/>
                    <w:suppressOverlap/>
                    <w:jc w:val="center"/>
                  </w:pPr>
                  <w:r>
                    <w:rPr>
                      <w:rFonts w:ascii="Calibri" w:eastAsia="Calibri" w:hAnsi="Calibri" w:cs="Calibri"/>
                      <w:sz w:val="20"/>
                    </w:rPr>
                    <w:t>62</w:t>
                  </w:r>
                </w:p>
              </w:tc>
              <w:tc>
                <w:tcPr>
                  <w:tcW w:w="2356" w:type="dxa"/>
                  <w:tcBorders>
                    <w:top w:val="single" w:sz="4" w:space="0" w:color="181717"/>
                    <w:left w:val="single" w:sz="4" w:space="0" w:color="181717"/>
                    <w:bottom w:val="single" w:sz="4" w:space="0" w:color="181717"/>
                    <w:right w:val="single" w:sz="4" w:space="0" w:color="181717"/>
                  </w:tcBorders>
                  <w:vAlign w:val="bottom"/>
                </w:tcPr>
                <w:p w14:paraId="799CDEF5" w14:textId="77777777" w:rsidR="00CB7A57" w:rsidRDefault="003B1641">
                  <w:pPr>
                    <w:framePr w:wrap="around" w:vAnchor="text" w:hAnchor="margin"/>
                    <w:spacing w:after="0" w:line="259" w:lineRule="auto"/>
                    <w:ind w:left="0" w:right="559" w:firstLine="0"/>
                    <w:suppressOverlap/>
                    <w:jc w:val="center"/>
                  </w:pPr>
                  <w:r>
                    <w:rPr>
                      <w:rFonts w:ascii="Calibri" w:eastAsia="Calibri" w:hAnsi="Calibri" w:cs="Calibri"/>
                      <w:sz w:val="20"/>
                    </w:rPr>
                    <w:t>45</w:t>
                  </w:r>
                </w:p>
              </w:tc>
              <w:tc>
                <w:tcPr>
                  <w:tcW w:w="3275" w:type="dxa"/>
                  <w:tcBorders>
                    <w:top w:val="single" w:sz="4" w:space="0" w:color="181717"/>
                    <w:left w:val="single" w:sz="4" w:space="0" w:color="181717"/>
                    <w:bottom w:val="single" w:sz="4" w:space="0" w:color="181717"/>
                    <w:right w:val="single" w:sz="4" w:space="0" w:color="181717"/>
                  </w:tcBorders>
                  <w:vAlign w:val="bottom"/>
                </w:tcPr>
                <w:p w14:paraId="12224921"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Walgreens</w:t>
                  </w:r>
                </w:p>
              </w:tc>
              <w:tc>
                <w:tcPr>
                  <w:tcW w:w="2354" w:type="dxa"/>
                  <w:tcBorders>
                    <w:top w:val="single" w:sz="4" w:space="0" w:color="181717"/>
                    <w:left w:val="single" w:sz="4" w:space="0" w:color="181717"/>
                    <w:bottom w:val="single" w:sz="4" w:space="0" w:color="181717"/>
                    <w:right w:val="single" w:sz="4" w:space="0" w:color="181717"/>
                  </w:tcBorders>
                  <w:vAlign w:val="bottom"/>
                </w:tcPr>
                <w:p w14:paraId="485C2EA9"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20.2</w:t>
                  </w:r>
                </w:p>
              </w:tc>
            </w:tr>
            <w:tr w:rsidR="00CB7A57" w14:paraId="6FB0E6AA"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52BBE92F" w14:textId="77777777" w:rsidR="00CB7A57" w:rsidRDefault="003B1641">
                  <w:pPr>
                    <w:framePr w:wrap="around" w:vAnchor="text" w:hAnchor="margin"/>
                    <w:spacing w:after="0" w:line="259" w:lineRule="auto"/>
                    <w:ind w:left="0" w:right="778" w:firstLine="0"/>
                    <w:suppressOverlap/>
                    <w:jc w:val="center"/>
                  </w:pPr>
                  <w:r>
                    <w:rPr>
                      <w:rFonts w:ascii="Calibri" w:eastAsia="Calibri" w:hAnsi="Calibri" w:cs="Calibri"/>
                      <w:sz w:val="20"/>
                    </w:rPr>
                    <w:t>98</w:t>
                  </w:r>
                </w:p>
              </w:tc>
              <w:tc>
                <w:tcPr>
                  <w:tcW w:w="2356" w:type="dxa"/>
                  <w:tcBorders>
                    <w:top w:val="single" w:sz="4" w:space="0" w:color="181717"/>
                    <w:left w:val="single" w:sz="4" w:space="0" w:color="181717"/>
                    <w:bottom w:val="single" w:sz="4" w:space="0" w:color="181717"/>
                    <w:right w:val="single" w:sz="4" w:space="0" w:color="181717"/>
                  </w:tcBorders>
                </w:tcPr>
                <w:p w14:paraId="0DED9348" w14:textId="77777777" w:rsidR="00CB7A57" w:rsidRDefault="003B1641">
                  <w:pPr>
                    <w:framePr w:wrap="around" w:vAnchor="text" w:hAnchor="margin"/>
                    <w:spacing w:after="0" w:line="259" w:lineRule="auto"/>
                    <w:ind w:left="0" w:right="559" w:firstLine="0"/>
                    <w:suppressOverlap/>
                    <w:jc w:val="center"/>
                  </w:pPr>
                  <w:r>
                    <w:rPr>
                      <w:rFonts w:ascii="Calibri" w:eastAsia="Calibri" w:hAnsi="Calibri" w:cs="Calibri"/>
                      <w:sz w:val="20"/>
                    </w:rPr>
                    <w:t>46</w:t>
                  </w:r>
                </w:p>
              </w:tc>
              <w:tc>
                <w:tcPr>
                  <w:tcW w:w="3275" w:type="dxa"/>
                  <w:tcBorders>
                    <w:top w:val="single" w:sz="4" w:space="0" w:color="181717"/>
                    <w:left w:val="single" w:sz="4" w:space="0" w:color="181717"/>
                    <w:bottom w:val="single" w:sz="4" w:space="0" w:color="181717"/>
                    <w:right w:val="single" w:sz="4" w:space="0" w:color="181717"/>
                  </w:tcBorders>
                </w:tcPr>
                <w:p w14:paraId="6E37F783"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Wells Fargo</w:t>
                  </w:r>
                </w:p>
              </w:tc>
              <w:tc>
                <w:tcPr>
                  <w:tcW w:w="2354" w:type="dxa"/>
                  <w:tcBorders>
                    <w:top w:val="single" w:sz="4" w:space="0" w:color="181717"/>
                    <w:left w:val="single" w:sz="4" w:space="0" w:color="181717"/>
                    <w:bottom w:val="single" w:sz="4" w:space="0" w:color="181717"/>
                    <w:right w:val="single" w:sz="4" w:space="0" w:color="181717"/>
                  </w:tcBorders>
                </w:tcPr>
                <w:p w14:paraId="741F4BEE"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17.1</w:t>
                  </w:r>
                </w:p>
              </w:tc>
            </w:tr>
            <w:tr w:rsidR="00CB7A57" w14:paraId="53823C97"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708DF5AD" w14:textId="77777777" w:rsidR="00CB7A57" w:rsidRDefault="003B1641">
                  <w:pPr>
                    <w:framePr w:wrap="around" w:vAnchor="text" w:hAnchor="margin"/>
                    <w:spacing w:after="0" w:line="259" w:lineRule="auto"/>
                    <w:ind w:left="0" w:right="696" w:firstLine="0"/>
                    <w:suppressOverlap/>
                    <w:jc w:val="center"/>
                  </w:pPr>
                  <w:r>
                    <w:rPr>
                      <w:rFonts w:ascii="Calibri" w:eastAsia="Calibri" w:hAnsi="Calibri" w:cs="Calibri"/>
                      <w:sz w:val="20"/>
                    </w:rPr>
                    <w:t>122</w:t>
                  </w:r>
                </w:p>
              </w:tc>
              <w:tc>
                <w:tcPr>
                  <w:tcW w:w="2356" w:type="dxa"/>
                  <w:tcBorders>
                    <w:top w:val="single" w:sz="4" w:space="0" w:color="181717"/>
                    <w:left w:val="single" w:sz="4" w:space="0" w:color="181717"/>
                    <w:bottom w:val="single" w:sz="4" w:space="0" w:color="181717"/>
                    <w:right w:val="single" w:sz="4" w:space="0" w:color="181717"/>
                  </w:tcBorders>
                </w:tcPr>
                <w:p w14:paraId="1116D9AC" w14:textId="77777777" w:rsidR="00CB7A57" w:rsidRDefault="003B1641">
                  <w:pPr>
                    <w:framePr w:wrap="around" w:vAnchor="text" w:hAnchor="margin"/>
                    <w:spacing w:after="0" w:line="259" w:lineRule="auto"/>
                    <w:ind w:left="0" w:right="559" w:firstLine="0"/>
                    <w:suppressOverlap/>
                    <w:jc w:val="center"/>
                  </w:pPr>
                  <w:r>
                    <w:rPr>
                      <w:rFonts w:ascii="Calibri" w:eastAsia="Calibri" w:hAnsi="Calibri" w:cs="Calibri"/>
                      <w:sz w:val="20"/>
                    </w:rPr>
                    <w:t>20</w:t>
                  </w:r>
                </w:p>
              </w:tc>
              <w:tc>
                <w:tcPr>
                  <w:tcW w:w="3275" w:type="dxa"/>
                  <w:tcBorders>
                    <w:top w:val="single" w:sz="4" w:space="0" w:color="181717"/>
                    <w:left w:val="single" w:sz="4" w:space="0" w:color="181717"/>
                    <w:bottom w:val="single" w:sz="4" w:space="0" w:color="181717"/>
                    <w:right w:val="single" w:sz="4" w:space="0" w:color="181717"/>
                  </w:tcBorders>
                </w:tcPr>
                <w:p w14:paraId="34A95DA6"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Philip Morris (now Altria)</w:t>
                  </w:r>
                </w:p>
              </w:tc>
              <w:tc>
                <w:tcPr>
                  <w:tcW w:w="2354" w:type="dxa"/>
                  <w:tcBorders>
                    <w:top w:val="single" w:sz="4" w:space="0" w:color="181717"/>
                    <w:left w:val="single" w:sz="4" w:space="0" w:color="181717"/>
                    <w:bottom w:val="single" w:sz="4" w:space="0" w:color="181717"/>
                    <w:right w:val="single" w:sz="4" w:space="0" w:color="181717"/>
                  </w:tcBorders>
                </w:tcPr>
                <w:p w14:paraId="607A6BB1"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15.2</w:t>
                  </w:r>
                </w:p>
              </w:tc>
            </w:tr>
            <w:tr w:rsidR="00CB7A57" w14:paraId="4431F684"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465B5E26" w14:textId="77777777" w:rsidR="00CB7A57" w:rsidRDefault="003B1641">
                  <w:pPr>
                    <w:framePr w:wrap="around" w:vAnchor="text" w:hAnchor="margin"/>
                    <w:spacing w:after="0" w:line="259" w:lineRule="auto"/>
                    <w:ind w:left="0" w:right="696" w:firstLine="0"/>
                    <w:suppressOverlap/>
                    <w:jc w:val="center"/>
                  </w:pPr>
                  <w:r>
                    <w:rPr>
                      <w:rFonts w:ascii="Calibri" w:eastAsia="Calibri" w:hAnsi="Calibri" w:cs="Calibri"/>
                      <w:sz w:val="20"/>
                    </w:rPr>
                    <w:t>223</w:t>
                  </w:r>
                </w:p>
              </w:tc>
              <w:tc>
                <w:tcPr>
                  <w:tcW w:w="2356" w:type="dxa"/>
                  <w:tcBorders>
                    <w:top w:val="single" w:sz="4" w:space="0" w:color="181717"/>
                    <w:left w:val="single" w:sz="4" w:space="0" w:color="181717"/>
                    <w:bottom w:val="single" w:sz="4" w:space="0" w:color="181717"/>
                    <w:right w:val="single" w:sz="4" w:space="0" w:color="181717"/>
                  </w:tcBorders>
                </w:tcPr>
                <w:p w14:paraId="3A37A3DC"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177</w:t>
                  </w:r>
                </w:p>
              </w:tc>
              <w:tc>
                <w:tcPr>
                  <w:tcW w:w="3275" w:type="dxa"/>
                  <w:tcBorders>
                    <w:top w:val="single" w:sz="4" w:space="0" w:color="181717"/>
                    <w:left w:val="single" w:sz="4" w:space="0" w:color="181717"/>
                    <w:bottom w:val="single" w:sz="4" w:space="0" w:color="181717"/>
                    <w:right w:val="single" w:sz="4" w:space="0" w:color="181717"/>
                  </w:tcBorders>
                </w:tcPr>
                <w:p w14:paraId="0395F06A"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Nucor</w:t>
                  </w:r>
                </w:p>
              </w:tc>
              <w:tc>
                <w:tcPr>
                  <w:tcW w:w="2354" w:type="dxa"/>
                  <w:tcBorders>
                    <w:top w:val="single" w:sz="4" w:space="0" w:color="181717"/>
                    <w:left w:val="single" w:sz="4" w:space="0" w:color="181717"/>
                    <w:bottom w:val="single" w:sz="4" w:space="0" w:color="181717"/>
                    <w:right w:val="single" w:sz="4" w:space="0" w:color="181717"/>
                  </w:tcBorders>
                </w:tcPr>
                <w:p w14:paraId="2A34BC8B" w14:textId="77777777" w:rsidR="00CB7A57" w:rsidRDefault="003B1641">
                  <w:pPr>
                    <w:framePr w:wrap="around" w:vAnchor="text" w:hAnchor="margin"/>
                    <w:spacing w:after="0" w:line="259" w:lineRule="auto"/>
                    <w:ind w:left="0" w:right="811" w:firstLine="0"/>
                    <w:suppressOverlap/>
                    <w:jc w:val="center"/>
                  </w:pPr>
                  <w:r>
                    <w:rPr>
                      <w:rFonts w:ascii="Calibri" w:eastAsia="Calibri" w:hAnsi="Calibri" w:cs="Calibri"/>
                      <w:sz w:val="20"/>
                    </w:rPr>
                    <w:t>10.3</w:t>
                  </w:r>
                </w:p>
              </w:tc>
            </w:tr>
            <w:tr w:rsidR="00CB7A57" w14:paraId="438C8A65"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4BCAED82" w14:textId="77777777" w:rsidR="00CB7A57" w:rsidRDefault="003B1641">
                  <w:pPr>
                    <w:framePr w:wrap="around" w:vAnchor="text" w:hAnchor="margin"/>
                    <w:spacing w:after="0" w:line="259" w:lineRule="auto"/>
                    <w:ind w:left="0" w:right="696" w:firstLine="0"/>
                    <w:suppressOverlap/>
                    <w:jc w:val="center"/>
                  </w:pPr>
                  <w:r>
                    <w:rPr>
                      <w:rFonts w:ascii="Calibri" w:eastAsia="Calibri" w:hAnsi="Calibri" w:cs="Calibri"/>
                      <w:sz w:val="20"/>
                    </w:rPr>
                    <w:t>235</w:t>
                  </w:r>
                </w:p>
              </w:tc>
              <w:tc>
                <w:tcPr>
                  <w:tcW w:w="2356" w:type="dxa"/>
                  <w:tcBorders>
                    <w:top w:val="single" w:sz="4" w:space="0" w:color="181717"/>
                    <w:left w:val="single" w:sz="4" w:space="0" w:color="181717"/>
                    <w:bottom w:val="single" w:sz="4" w:space="0" w:color="181717"/>
                    <w:right w:val="single" w:sz="4" w:space="0" w:color="181717"/>
                  </w:tcBorders>
                </w:tcPr>
                <w:p w14:paraId="43067FF9"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226</w:t>
                  </w:r>
                </w:p>
              </w:tc>
              <w:tc>
                <w:tcPr>
                  <w:tcW w:w="3275" w:type="dxa"/>
                  <w:tcBorders>
                    <w:top w:val="single" w:sz="4" w:space="0" w:color="181717"/>
                    <w:left w:val="single" w:sz="4" w:space="0" w:color="181717"/>
                    <w:bottom w:val="single" w:sz="4" w:space="0" w:color="181717"/>
                    <w:right w:val="single" w:sz="4" w:space="0" w:color="181717"/>
                  </w:tcBorders>
                </w:tcPr>
                <w:p w14:paraId="6B6854F0"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Circuit City</w:t>
                  </w:r>
                </w:p>
              </w:tc>
              <w:tc>
                <w:tcPr>
                  <w:tcW w:w="2354" w:type="dxa"/>
                  <w:tcBorders>
                    <w:top w:val="single" w:sz="4" w:space="0" w:color="181717"/>
                    <w:left w:val="single" w:sz="4" w:space="0" w:color="181717"/>
                    <w:bottom w:val="single" w:sz="4" w:space="0" w:color="181717"/>
                    <w:right w:val="single" w:sz="4" w:space="0" w:color="181717"/>
                  </w:tcBorders>
                </w:tcPr>
                <w:p w14:paraId="1C8F6118" w14:textId="77777777" w:rsidR="00CB7A57" w:rsidRDefault="003B1641">
                  <w:pPr>
                    <w:framePr w:wrap="around" w:vAnchor="text" w:hAnchor="margin"/>
                    <w:spacing w:after="0" w:line="259" w:lineRule="auto"/>
                    <w:ind w:left="0" w:right="729" w:firstLine="0"/>
                    <w:suppressOverlap/>
                    <w:jc w:val="center"/>
                  </w:pPr>
                  <w:r>
                    <w:rPr>
                      <w:rFonts w:ascii="Calibri" w:eastAsia="Calibri" w:hAnsi="Calibri" w:cs="Calibri"/>
                      <w:sz w:val="20"/>
                    </w:rPr>
                    <w:t>9.8</w:t>
                  </w:r>
                </w:p>
              </w:tc>
            </w:tr>
            <w:tr w:rsidR="00CB7A57" w14:paraId="154FAB03"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01A612C5" w14:textId="77777777" w:rsidR="00CB7A57" w:rsidRDefault="003B1641">
                  <w:pPr>
                    <w:framePr w:wrap="around" w:vAnchor="text" w:hAnchor="margin"/>
                    <w:spacing w:after="0" w:line="259" w:lineRule="auto"/>
                    <w:ind w:left="0" w:right="696" w:firstLine="0"/>
                    <w:suppressOverlap/>
                    <w:jc w:val="center"/>
                  </w:pPr>
                  <w:r>
                    <w:rPr>
                      <w:rFonts w:ascii="Calibri" w:eastAsia="Calibri" w:hAnsi="Calibri" w:cs="Calibri"/>
                      <w:sz w:val="20"/>
                    </w:rPr>
                    <w:t>240</w:t>
                  </w:r>
                </w:p>
              </w:tc>
              <w:tc>
                <w:tcPr>
                  <w:tcW w:w="2356" w:type="dxa"/>
                  <w:tcBorders>
                    <w:top w:val="single" w:sz="4" w:space="0" w:color="181717"/>
                    <w:left w:val="single" w:sz="4" w:space="0" w:color="181717"/>
                    <w:bottom w:val="single" w:sz="4" w:space="0" w:color="181717"/>
                    <w:right w:val="single" w:sz="4" w:space="0" w:color="181717"/>
                  </w:tcBorders>
                </w:tcPr>
                <w:p w14:paraId="5B2ACD62" w14:textId="77777777" w:rsidR="00CB7A57" w:rsidRDefault="003B1641">
                  <w:pPr>
                    <w:framePr w:wrap="around" w:vAnchor="text" w:hAnchor="margin"/>
                    <w:spacing w:after="0" w:line="259" w:lineRule="auto"/>
                    <w:ind w:left="0" w:right="559" w:firstLine="0"/>
                    <w:suppressOverlap/>
                    <w:jc w:val="center"/>
                  </w:pPr>
                  <w:r>
                    <w:rPr>
                      <w:rFonts w:ascii="Calibri" w:eastAsia="Calibri" w:hAnsi="Calibri" w:cs="Calibri"/>
                      <w:sz w:val="20"/>
                    </w:rPr>
                    <w:t>93</w:t>
                  </w:r>
                </w:p>
              </w:tc>
              <w:tc>
                <w:tcPr>
                  <w:tcW w:w="3275" w:type="dxa"/>
                  <w:tcBorders>
                    <w:top w:val="single" w:sz="4" w:space="0" w:color="181717"/>
                    <w:left w:val="single" w:sz="4" w:space="0" w:color="181717"/>
                    <w:bottom w:val="single" w:sz="4" w:space="0" w:color="181717"/>
                    <w:right w:val="single" w:sz="4" w:space="0" w:color="181717"/>
                  </w:tcBorders>
                </w:tcPr>
                <w:p w14:paraId="1415FCD3"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Abbott Laboratories</w:t>
                  </w:r>
                </w:p>
              </w:tc>
              <w:tc>
                <w:tcPr>
                  <w:tcW w:w="2354" w:type="dxa"/>
                  <w:tcBorders>
                    <w:top w:val="single" w:sz="4" w:space="0" w:color="181717"/>
                    <w:left w:val="single" w:sz="4" w:space="0" w:color="181717"/>
                    <w:bottom w:val="single" w:sz="4" w:space="0" w:color="181717"/>
                    <w:right w:val="single" w:sz="4" w:space="0" w:color="181717"/>
                  </w:tcBorders>
                </w:tcPr>
                <w:p w14:paraId="2A90EFE3" w14:textId="77777777" w:rsidR="00CB7A57" w:rsidRDefault="003B1641">
                  <w:pPr>
                    <w:framePr w:wrap="around" w:vAnchor="text" w:hAnchor="margin"/>
                    <w:spacing w:after="0" w:line="259" w:lineRule="auto"/>
                    <w:ind w:left="0" w:right="729" w:firstLine="0"/>
                    <w:suppressOverlap/>
                    <w:jc w:val="center"/>
                  </w:pPr>
                  <w:r>
                    <w:rPr>
                      <w:rFonts w:ascii="Calibri" w:eastAsia="Calibri" w:hAnsi="Calibri" w:cs="Calibri"/>
                      <w:sz w:val="20"/>
                    </w:rPr>
                    <w:t>9.4</w:t>
                  </w:r>
                </w:p>
              </w:tc>
            </w:tr>
            <w:tr w:rsidR="00CB7A57" w14:paraId="2DCE6E13"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2C6059DF" w14:textId="77777777" w:rsidR="00CB7A57" w:rsidRDefault="003B1641">
                  <w:pPr>
                    <w:framePr w:wrap="around" w:vAnchor="text" w:hAnchor="margin"/>
                    <w:spacing w:after="0" w:line="259" w:lineRule="auto"/>
                    <w:ind w:left="0" w:right="696" w:firstLine="0"/>
                    <w:suppressOverlap/>
                    <w:jc w:val="center"/>
                  </w:pPr>
                  <w:r>
                    <w:rPr>
                      <w:rFonts w:ascii="Calibri" w:eastAsia="Calibri" w:hAnsi="Calibri" w:cs="Calibri"/>
                      <w:sz w:val="20"/>
                    </w:rPr>
                    <w:t>247</w:t>
                  </w:r>
                </w:p>
              </w:tc>
              <w:tc>
                <w:tcPr>
                  <w:tcW w:w="2356" w:type="dxa"/>
                  <w:tcBorders>
                    <w:top w:val="single" w:sz="4" w:space="0" w:color="181717"/>
                    <w:left w:val="single" w:sz="4" w:space="0" w:color="181717"/>
                    <w:bottom w:val="single" w:sz="4" w:space="0" w:color="181717"/>
                    <w:right w:val="single" w:sz="4" w:space="0" w:color="181717"/>
                  </w:tcBorders>
                </w:tcPr>
                <w:p w14:paraId="07649A4E"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394</w:t>
                  </w:r>
                </w:p>
              </w:tc>
              <w:tc>
                <w:tcPr>
                  <w:tcW w:w="3275" w:type="dxa"/>
                  <w:tcBorders>
                    <w:top w:val="single" w:sz="4" w:space="0" w:color="181717"/>
                    <w:left w:val="single" w:sz="4" w:space="0" w:color="181717"/>
                    <w:bottom w:val="single" w:sz="4" w:space="0" w:color="181717"/>
                    <w:right w:val="single" w:sz="4" w:space="0" w:color="181717"/>
                  </w:tcBorders>
                </w:tcPr>
                <w:p w14:paraId="39805118"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Pitney Bowes</w:t>
                  </w:r>
                </w:p>
              </w:tc>
              <w:tc>
                <w:tcPr>
                  <w:tcW w:w="2354" w:type="dxa"/>
                  <w:tcBorders>
                    <w:top w:val="single" w:sz="4" w:space="0" w:color="181717"/>
                    <w:left w:val="single" w:sz="4" w:space="0" w:color="181717"/>
                    <w:bottom w:val="single" w:sz="4" w:space="0" w:color="181717"/>
                    <w:right w:val="single" w:sz="4" w:space="0" w:color="181717"/>
                  </w:tcBorders>
                </w:tcPr>
                <w:p w14:paraId="0AB3C663" w14:textId="77777777" w:rsidR="00CB7A57" w:rsidRDefault="003B1641">
                  <w:pPr>
                    <w:framePr w:wrap="around" w:vAnchor="text" w:hAnchor="margin"/>
                    <w:spacing w:after="0" w:line="259" w:lineRule="auto"/>
                    <w:ind w:left="0" w:right="729" w:firstLine="0"/>
                    <w:suppressOverlap/>
                    <w:jc w:val="center"/>
                  </w:pPr>
                  <w:r>
                    <w:rPr>
                      <w:rFonts w:ascii="Calibri" w:eastAsia="Calibri" w:hAnsi="Calibri" w:cs="Calibri"/>
                      <w:sz w:val="20"/>
                    </w:rPr>
                    <w:t>9.1</w:t>
                  </w:r>
                </w:p>
              </w:tc>
            </w:tr>
            <w:tr w:rsidR="00CB7A57" w14:paraId="6B16D94F"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6361ABE3" w14:textId="77777777" w:rsidR="00CB7A57" w:rsidRDefault="003B1641">
                  <w:pPr>
                    <w:framePr w:wrap="around" w:vAnchor="text" w:hAnchor="margin"/>
                    <w:spacing w:after="0" w:line="259" w:lineRule="auto"/>
                    <w:ind w:left="0" w:right="635" w:firstLine="0"/>
                    <w:suppressOverlap/>
                    <w:jc w:val="center"/>
                  </w:pPr>
                  <w:r>
                    <w:rPr>
                      <w:rFonts w:ascii="Calibri" w:eastAsia="Calibri" w:hAnsi="Calibri" w:cs="Calibri"/>
                      <w:sz w:val="20"/>
                    </w:rPr>
                    <w:t>280</w:t>
                  </w:r>
                  <w:r>
                    <w:rPr>
                      <w:rFonts w:ascii="Calibri" w:eastAsia="Calibri" w:hAnsi="Calibri" w:cs="Calibri"/>
                      <w:sz w:val="20"/>
                      <w:vertAlign w:val="superscript"/>
                    </w:rPr>
                    <w:t>2</w:t>
                  </w:r>
                </w:p>
              </w:tc>
              <w:tc>
                <w:tcPr>
                  <w:tcW w:w="2356" w:type="dxa"/>
                  <w:tcBorders>
                    <w:top w:val="single" w:sz="4" w:space="0" w:color="181717"/>
                    <w:left w:val="single" w:sz="4" w:space="0" w:color="181717"/>
                    <w:bottom w:val="single" w:sz="4" w:space="0" w:color="181717"/>
                    <w:right w:val="single" w:sz="4" w:space="0" w:color="181717"/>
                  </w:tcBorders>
                </w:tcPr>
                <w:p w14:paraId="350C0D44"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not ranked</w:t>
                  </w:r>
                </w:p>
              </w:tc>
              <w:tc>
                <w:tcPr>
                  <w:tcW w:w="3275" w:type="dxa"/>
                  <w:tcBorders>
                    <w:top w:val="single" w:sz="4" w:space="0" w:color="181717"/>
                    <w:left w:val="single" w:sz="4" w:space="0" w:color="181717"/>
                    <w:bottom w:val="single" w:sz="4" w:space="0" w:color="181717"/>
                    <w:right w:val="single" w:sz="4" w:space="0" w:color="181717"/>
                  </w:tcBorders>
                </w:tcPr>
                <w:p w14:paraId="2A65AF77"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Fannie Mae</w:t>
                  </w:r>
                </w:p>
              </w:tc>
              <w:tc>
                <w:tcPr>
                  <w:tcW w:w="2354" w:type="dxa"/>
                  <w:tcBorders>
                    <w:top w:val="single" w:sz="4" w:space="0" w:color="181717"/>
                    <w:left w:val="single" w:sz="4" w:space="0" w:color="181717"/>
                    <w:bottom w:val="single" w:sz="4" w:space="0" w:color="181717"/>
                    <w:right w:val="single" w:sz="4" w:space="0" w:color="181717"/>
                  </w:tcBorders>
                </w:tcPr>
                <w:p w14:paraId="1A091FD4" w14:textId="77777777" w:rsidR="00CB7A57" w:rsidRDefault="003B1641">
                  <w:pPr>
                    <w:framePr w:wrap="around" w:vAnchor="text" w:hAnchor="margin"/>
                    <w:spacing w:after="0" w:line="259" w:lineRule="auto"/>
                    <w:ind w:left="0" w:right="729" w:firstLine="0"/>
                    <w:suppressOverlap/>
                    <w:jc w:val="center"/>
                  </w:pPr>
                  <w:r>
                    <w:rPr>
                      <w:rFonts w:ascii="Calibri" w:eastAsia="Calibri" w:hAnsi="Calibri" w:cs="Calibri"/>
                      <w:sz w:val="20"/>
                    </w:rPr>
                    <w:t>7.6</w:t>
                  </w:r>
                </w:p>
              </w:tc>
            </w:tr>
            <w:tr w:rsidR="00CB7A57" w14:paraId="2FBDD529"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669BAEF9" w14:textId="77777777" w:rsidR="00CB7A57" w:rsidRDefault="003B1641">
                  <w:pPr>
                    <w:framePr w:wrap="around" w:vAnchor="text" w:hAnchor="margin"/>
                    <w:spacing w:after="0" w:line="259" w:lineRule="auto"/>
                    <w:ind w:left="0" w:right="635" w:firstLine="0"/>
                    <w:suppressOverlap/>
                    <w:jc w:val="center"/>
                  </w:pPr>
                  <w:r>
                    <w:rPr>
                      <w:rFonts w:ascii="Calibri" w:eastAsia="Calibri" w:hAnsi="Calibri" w:cs="Calibri"/>
                      <w:sz w:val="20"/>
                    </w:rPr>
                    <w:t>283</w:t>
                  </w:r>
                  <w:r>
                    <w:rPr>
                      <w:rFonts w:ascii="Calibri" w:eastAsia="Calibri" w:hAnsi="Calibri" w:cs="Calibri"/>
                      <w:sz w:val="20"/>
                      <w:vertAlign w:val="superscript"/>
                    </w:rPr>
                    <w:t>3</w:t>
                  </w:r>
                </w:p>
              </w:tc>
              <w:tc>
                <w:tcPr>
                  <w:tcW w:w="2356" w:type="dxa"/>
                  <w:tcBorders>
                    <w:top w:val="single" w:sz="4" w:space="0" w:color="181717"/>
                    <w:left w:val="single" w:sz="4" w:space="0" w:color="181717"/>
                    <w:bottom w:val="single" w:sz="4" w:space="0" w:color="181717"/>
                    <w:right w:val="single" w:sz="4" w:space="0" w:color="181717"/>
                  </w:tcBorders>
                </w:tcPr>
                <w:p w14:paraId="7D946949"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not ranked</w:t>
                  </w:r>
                </w:p>
              </w:tc>
              <w:tc>
                <w:tcPr>
                  <w:tcW w:w="3275" w:type="dxa"/>
                  <w:tcBorders>
                    <w:top w:val="single" w:sz="4" w:space="0" w:color="181717"/>
                    <w:left w:val="single" w:sz="4" w:space="0" w:color="181717"/>
                    <w:bottom w:val="single" w:sz="4" w:space="0" w:color="181717"/>
                    <w:right w:val="single" w:sz="4" w:space="0" w:color="181717"/>
                  </w:tcBorders>
                </w:tcPr>
                <w:p w14:paraId="419805C3"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Gillette</w:t>
                  </w:r>
                </w:p>
              </w:tc>
              <w:tc>
                <w:tcPr>
                  <w:tcW w:w="2354" w:type="dxa"/>
                  <w:tcBorders>
                    <w:top w:val="single" w:sz="4" w:space="0" w:color="181717"/>
                    <w:left w:val="single" w:sz="4" w:space="0" w:color="181717"/>
                    <w:bottom w:val="single" w:sz="4" w:space="0" w:color="181717"/>
                    <w:right w:val="single" w:sz="4" w:space="0" w:color="181717"/>
                  </w:tcBorders>
                </w:tcPr>
                <w:p w14:paraId="0021E794" w14:textId="77777777" w:rsidR="00CB7A57" w:rsidRDefault="003B1641">
                  <w:pPr>
                    <w:framePr w:wrap="around" w:vAnchor="text" w:hAnchor="margin"/>
                    <w:spacing w:after="0" w:line="259" w:lineRule="auto"/>
                    <w:ind w:left="0" w:right="729" w:firstLine="0"/>
                    <w:suppressOverlap/>
                    <w:jc w:val="center"/>
                  </w:pPr>
                  <w:r>
                    <w:rPr>
                      <w:rFonts w:ascii="Calibri" w:eastAsia="Calibri" w:hAnsi="Calibri" w:cs="Calibri"/>
                      <w:sz w:val="20"/>
                    </w:rPr>
                    <w:t>7.5</w:t>
                  </w:r>
                </w:p>
              </w:tc>
            </w:tr>
            <w:tr w:rsidR="00CB7A57" w14:paraId="22F8D334"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20A748CF" w14:textId="77777777" w:rsidR="00CB7A57" w:rsidRDefault="003B1641">
                  <w:pPr>
                    <w:framePr w:wrap="around" w:vAnchor="text" w:hAnchor="margin"/>
                    <w:spacing w:after="0" w:line="259" w:lineRule="auto"/>
                    <w:ind w:left="0" w:right="696" w:firstLine="0"/>
                    <w:suppressOverlap/>
                    <w:jc w:val="center"/>
                  </w:pPr>
                  <w:r>
                    <w:rPr>
                      <w:rFonts w:ascii="Calibri" w:eastAsia="Calibri" w:hAnsi="Calibri" w:cs="Calibri"/>
                      <w:sz w:val="20"/>
                    </w:rPr>
                    <w:t>289</w:t>
                  </w:r>
                </w:p>
              </w:tc>
              <w:tc>
                <w:tcPr>
                  <w:tcW w:w="2356" w:type="dxa"/>
                  <w:tcBorders>
                    <w:top w:val="single" w:sz="4" w:space="0" w:color="181717"/>
                    <w:left w:val="single" w:sz="4" w:space="0" w:color="181717"/>
                    <w:bottom w:val="single" w:sz="4" w:space="0" w:color="181717"/>
                    <w:right w:val="single" w:sz="4" w:space="0" w:color="181717"/>
                  </w:tcBorders>
                </w:tcPr>
                <w:p w14:paraId="4CA0F6EE" w14:textId="77777777" w:rsidR="00CB7A57" w:rsidRDefault="003B1641">
                  <w:pPr>
                    <w:framePr w:wrap="around" w:vAnchor="text" w:hAnchor="margin"/>
                    <w:spacing w:after="0" w:line="259" w:lineRule="auto"/>
                    <w:ind w:left="0" w:right="559" w:firstLine="0"/>
                    <w:suppressOverlap/>
                    <w:jc w:val="center"/>
                  </w:pPr>
                  <w:r>
                    <w:rPr>
                      <w:rFonts w:ascii="Calibri" w:eastAsia="Calibri" w:hAnsi="Calibri" w:cs="Calibri"/>
                      <w:sz w:val="20"/>
                    </w:rPr>
                    <w:t>21</w:t>
                  </w:r>
                </w:p>
              </w:tc>
              <w:tc>
                <w:tcPr>
                  <w:tcW w:w="3275" w:type="dxa"/>
                  <w:tcBorders>
                    <w:top w:val="single" w:sz="4" w:space="0" w:color="181717"/>
                    <w:left w:val="single" w:sz="4" w:space="0" w:color="181717"/>
                    <w:bottom w:val="single" w:sz="4" w:space="0" w:color="181717"/>
                    <w:right w:val="single" w:sz="4" w:space="0" w:color="181717"/>
                  </w:tcBorders>
                </w:tcPr>
                <w:p w14:paraId="562DD81C"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Kroger</w:t>
                  </w:r>
                </w:p>
              </w:tc>
              <w:tc>
                <w:tcPr>
                  <w:tcW w:w="2354" w:type="dxa"/>
                  <w:tcBorders>
                    <w:top w:val="single" w:sz="4" w:space="0" w:color="181717"/>
                    <w:left w:val="single" w:sz="4" w:space="0" w:color="181717"/>
                    <w:bottom w:val="single" w:sz="4" w:space="0" w:color="181717"/>
                    <w:right w:val="single" w:sz="4" w:space="0" w:color="181717"/>
                  </w:tcBorders>
                </w:tcPr>
                <w:p w14:paraId="37C8873C" w14:textId="77777777" w:rsidR="00CB7A57" w:rsidRDefault="003B1641">
                  <w:pPr>
                    <w:framePr w:wrap="around" w:vAnchor="text" w:hAnchor="margin"/>
                    <w:spacing w:after="0" w:line="259" w:lineRule="auto"/>
                    <w:ind w:left="0" w:right="729" w:firstLine="0"/>
                    <w:suppressOverlap/>
                    <w:jc w:val="center"/>
                  </w:pPr>
                  <w:r>
                    <w:rPr>
                      <w:rFonts w:ascii="Calibri" w:eastAsia="Calibri" w:hAnsi="Calibri" w:cs="Calibri"/>
                      <w:sz w:val="20"/>
                    </w:rPr>
                    <w:t>7.3</w:t>
                  </w:r>
                </w:p>
              </w:tc>
            </w:tr>
            <w:tr w:rsidR="00CB7A57" w14:paraId="2FB5A32E"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3ECB3387" w14:textId="77777777" w:rsidR="00CB7A57" w:rsidRDefault="003B1641">
                  <w:pPr>
                    <w:framePr w:wrap="around" w:vAnchor="text" w:hAnchor="margin"/>
                    <w:spacing w:after="0" w:line="259" w:lineRule="auto"/>
                    <w:ind w:left="0" w:right="696" w:firstLine="0"/>
                    <w:suppressOverlap/>
                    <w:jc w:val="center"/>
                  </w:pPr>
                  <w:r>
                    <w:rPr>
                      <w:rFonts w:ascii="Calibri" w:eastAsia="Calibri" w:hAnsi="Calibri" w:cs="Calibri"/>
                      <w:sz w:val="20"/>
                    </w:rPr>
                    <w:t>302</w:t>
                  </w:r>
                </w:p>
              </w:tc>
              <w:tc>
                <w:tcPr>
                  <w:tcW w:w="2356" w:type="dxa"/>
                  <w:tcBorders>
                    <w:top w:val="single" w:sz="4" w:space="0" w:color="181717"/>
                    <w:left w:val="single" w:sz="4" w:space="0" w:color="181717"/>
                    <w:bottom w:val="single" w:sz="4" w:space="0" w:color="181717"/>
                    <w:right w:val="single" w:sz="4" w:space="0" w:color="181717"/>
                  </w:tcBorders>
                </w:tcPr>
                <w:p w14:paraId="1484A061" w14:textId="77777777" w:rsidR="00CB7A57" w:rsidRDefault="003B1641">
                  <w:pPr>
                    <w:framePr w:wrap="around" w:vAnchor="text" w:hAnchor="margin"/>
                    <w:spacing w:after="0" w:line="259" w:lineRule="auto"/>
                    <w:ind w:left="0" w:right="641" w:firstLine="0"/>
                    <w:suppressOverlap/>
                    <w:jc w:val="center"/>
                  </w:pPr>
                  <w:r>
                    <w:rPr>
                      <w:rFonts w:ascii="Calibri" w:eastAsia="Calibri" w:hAnsi="Calibri" w:cs="Calibri"/>
                      <w:sz w:val="20"/>
                    </w:rPr>
                    <w:t>140</w:t>
                  </w:r>
                </w:p>
              </w:tc>
              <w:tc>
                <w:tcPr>
                  <w:tcW w:w="3275" w:type="dxa"/>
                  <w:tcBorders>
                    <w:top w:val="single" w:sz="4" w:space="0" w:color="181717"/>
                    <w:left w:val="single" w:sz="4" w:space="0" w:color="181717"/>
                    <w:bottom w:val="single" w:sz="4" w:space="0" w:color="181717"/>
                    <w:right w:val="single" w:sz="4" w:space="0" w:color="181717"/>
                  </w:tcBorders>
                </w:tcPr>
                <w:p w14:paraId="3F097704"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sz w:val="20"/>
                    </w:rPr>
                    <w:t>Kimberly-Clark</w:t>
                  </w:r>
                </w:p>
              </w:tc>
              <w:tc>
                <w:tcPr>
                  <w:tcW w:w="2354" w:type="dxa"/>
                  <w:tcBorders>
                    <w:top w:val="single" w:sz="4" w:space="0" w:color="181717"/>
                    <w:left w:val="single" w:sz="4" w:space="0" w:color="181717"/>
                    <w:bottom w:val="single" w:sz="4" w:space="0" w:color="181717"/>
                    <w:right w:val="single" w:sz="4" w:space="0" w:color="181717"/>
                  </w:tcBorders>
                </w:tcPr>
                <w:p w14:paraId="69279CC2" w14:textId="77777777" w:rsidR="00CB7A57" w:rsidRDefault="003B1641">
                  <w:pPr>
                    <w:framePr w:wrap="around" w:vAnchor="text" w:hAnchor="margin"/>
                    <w:spacing w:after="0" w:line="259" w:lineRule="auto"/>
                    <w:ind w:left="0" w:right="729" w:firstLine="0"/>
                    <w:suppressOverlap/>
                    <w:jc w:val="center"/>
                  </w:pPr>
                  <w:r>
                    <w:rPr>
                      <w:rFonts w:ascii="Calibri" w:eastAsia="Calibri" w:hAnsi="Calibri" w:cs="Calibri"/>
                      <w:sz w:val="20"/>
                    </w:rPr>
                    <w:t>6.2</w:t>
                  </w:r>
                </w:p>
              </w:tc>
            </w:tr>
            <w:tr w:rsidR="00CB7A57" w14:paraId="7E4F596C" w14:textId="77777777">
              <w:trPr>
                <w:trHeight w:val="290"/>
              </w:trPr>
              <w:tc>
                <w:tcPr>
                  <w:tcW w:w="2088" w:type="dxa"/>
                  <w:tcBorders>
                    <w:top w:val="single" w:sz="4" w:space="0" w:color="181717"/>
                    <w:left w:val="single" w:sz="4" w:space="0" w:color="181717"/>
                    <w:bottom w:val="single" w:sz="4" w:space="0" w:color="181717"/>
                    <w:right w:val="single" w:sz="4" w:space="0" w:color="181717"/>
                  </w:tcBorders>
                </w:tcPr>
                <w:p w14:paraId="6641FA58" w14:textId="77777777" w:rsidR="00CB7A57" w:rsidRDefault="003B1641">
                  <w:pPr>
                    <w:framePr w:wrap="around" w:vAnchor="text" w:hAnchor="margin"/>
                    <w:spacing w:after="0" w:line="259" w:lineRule="auto"/>
                    <w:ind w:left="0" w:right="649" w:firstLine="0"/>
                    <w:suppressOverlap/>
                    <w:jc w:val="center"/>
                  </w:pPr>
                  <w:r>
                    <w:rPr>
                      <w:rFonts w:ascii="Calibri" w:eastAsia="Calibri" w:hAnsi="Calibri" w:cs="Calibri"/>
                      <w:b/>
                      <w:sz w:val="20"/>
                    </w:rPr>
                    <w:t>202</w:t>
                  </w:r>
                </w:p>
              </w:tc>
              <w:tc>
                <w:tcPr>
                  <w:tcW w:w="2356" w:type="dxa"/>
                  <w:tcBorders>
                    <w:top w:val="single" w:sz="4" w:space="0" w:color="181717"/>
                    <w:left w:val="single" w:sz="4" w:space="0" w:color="181717"/>
                    <w:bottom w:val="single" w:sz="4" w:space="0" w:color="181717"/>
                    <w:right w:val="single" w:sz="4" w:space="0" w:color="181717"/>
                  </w:tcBorders>
                </w:tcPr>
                <w:p w14:paraId="0C2DEB9F" w14:textId="77777777" w:rsidR="00CB7A57" w:rsidRDefault="00CB7A57">
                  <w:pPr>
                    <w:framePr w:wrap="around" w:vAnchor="text" w:hAnchor="margin"/>
                    <w:spacing w:after="160" w:line="259" w:lineRule="auto"/>
                    <w:ind w:left="0" w:firstLine="0"/>
                    <w:suppressOverlap/>
                    <w:jc w:val="left"/>
                  </w:pPr>
                </w:p>
              </w:tc>
              <w:tc>
                <w:tcPr>
                  <w:tcW w:w="3275" w:type="dxa"/>
                  <w:tcBorders>
                    <w:top w:val="single" w:sz="4" w:space="0" w:color="181717"/>
                    <w:left w:val="single" w:sz="4" w:space="0" w:color="181717"/>
                    <w:bottom w:val="single" w:sz="4" w:space="0" w:color="181717"/>
                    <w:right w:val="single" w:sz="4" w:space="0" w:color="181717"/>
                  </w:tcBorders>
                </w:tcPr>
                <w:p w14:paraId="58B4EA95" w14:textId="77777777" w:rsidR="00CB7A57" w:rsidRDefault="003B1641">
                  <w:pPr>
                    <w:framePr w:wrap="around" w:vAnchor="text" w:hAnchor="margin"/>
                    <w:spacing w:after="0" w:line="259" w:lineRule="auto"/>
                    <w:ind w:left="0" w:firstLine="0"/>
                    <w:suppressOverlap/>
                    <w:jc w:val="left"/>
                  </w:pPr>
                  <w:r>
                    <w:rPr>
                      <w:rFonts w:ascii="Calibri" w:eastAsia="Calibri" w:hAnsi="Calibri" w:cs="Calibri"/>
                      <w:b/>
                      <w:sz w:val="20"/>
                    </w:rPr>
                    <w:t>Average</w:t>
                  </w:r>
                </w:p>
              </w:tc>
              <w:tc>
                <w:tcPr>
                  <w:tcW w:w="2354" w:type="dxa"/>
                  <w:tcBorders>
                    <w:top w:val="single" w:sz="4" w:space="0" w:color="181717"/>
                    <w:left w:val="single" w:sz="4" w:space="0" w:color="181717"/>
                    <w:bottom w:val="single" w:sz="4" w:space="0" w:color="181717"/>
                    <w:right w:val="single" w:sz="4" w:space="0" w:color="181717"/>
                  </w:tcBorders>
                </w:tcPr>
                <w:p w14:paraId="2F983C55" w14:textId="77777777" w:rsidR="00CB7A57" w:rsidRDefault="003B1641">
                  <w:pPr>
                    <w:framePr w:wrap="around" w:vAnchor="text" w:hAnchor="margin"/>
                    <w:spacing w:after="0" w:line="259" w:lineRule="auto"/>
                    <w:ind w:left="0" w:right="647" w:firstLine="0"/>
                    <w:suppressOverlap/>
                    <w:jc w:val="center"/>
                  </w:pPr>
                  <w:r>
                    <w:rPr>
                      <w:rFonts w:ascii="Calibri" w:eastAsia="Calibri" w:hAnsi="Calibri" w:cs="Calibri"/>
                      <w:b/>
                      <w:sz w:val="20"/>
                    </w:rPr>
                    <w:t>10.9%</w:t>
                  </w:r>
                </w:p>
              </w:tc>
            </w:tr>
          </w:tbl>
          <w:p w14:paraId="45268E8D" w14:textId="77777777" w:rsidR="00CB7A57" w:rsidRDefault="003B1641">
            <w:pPr>
              <w:spacing w:after="0" w:line="259" w:lineRule="auto"/>
              <w:ind w:left="280" w:firstLine="0"/>
              <w:jc w:val="left"/>
            </w:pPr>
            <w:r>
              <w:rPr>
                <w:rFonts w:ascii="Calibri" w:eastAsia="Calibri" w:hAnsi="Calibri" w:cs="Calibri"/>
                <w:sz w:val="10"/>
              </w:rPr>
              <w:t>1</w:t>
            </w:r>
          </w:p>
          <w:p w14:paraId="73379D0C" w14:textId="77777777" w:rsidR="00CB7A57" w:rsidRDefault="003B1641">
            <w:pPr>
              <w:spacing w:after="0" w:line="222" w:lineRule="auto"/>
              <w:ind w:left="0" w:right="-2" w:firstLine="391"/>
            </w:pPr>
            <w:r>
              <w:rPr>
                <w:rFonts w:ascii="Calibri" w:eastAsia="Calibri" w:hAnsi="Calibri" w:cs="Calibri"/>
                <w:sz w:val="16"/>
              </w:rPr>
              <w:t xml:space="preserve">Return period begins January 2, 1996, and ends December 30, 2005. This is the same time period used by </w:t>
            </w:r>
            <w:r>
              <w:rPr>
                <w:rFonts w:ascii="Calibri" w:eastAsia="Calibri" w:hAnsi="Calibri" w:cs="Calibri"/>
                <w:i/>
                <w:sz w:val="16"/>
              </w:rPr>
              <w:t xml:space="preserve">Forbes </w:t>
            </w:r>
            <w:r>
              <w:rPr>
                <w:rFonts w:ascii="Calibri" w:eastAsia="Calibri" w:hAnsi="Calibri" w:cs="Calibri"/>
                <w:sz w:val="16"/>
              </w:rPr>
              <w:t xml:space="preserve">for the firms on the 2006 Fortune 500 list. </w:t>
            </w:r>
            <w:r>
              <w:rPr>
                <w:rFonts w:ascii="Calibri" w:eastAsia="Calibri" w:hAnsi="Calibri" w:cs="Calibri"/>
                <w:sz w:val="10"/>
              </w:rPr>
              <w:t xml:space="preserve">2 </w:t>
            </w:r>
            <w:r>
              <w:rPr>
                <w:rFonts w:ascii="Calibri" w:eastAsia="Calibri" w:hAnsi="Calibri" w:cs="Calibri"/>
                <w:sz w:val="16"/>
              </w:rPr>
              <w:t xml:space="preserve">AlthoughFannieMaedidnotmaketheFortune500listin2006,itsreturnandpositiononthelist,haditmadetheFortune500,isprovided. </w:t>
            </w:r>
            <w:r>
              <w:rPr>
                <w:rFonts w:ascii="Calibri" w:eastAsia="Calibri" w:hAnsi="Calibri" w:cs="Calibri"/>
                <w:sz w:val="10"/>
              </w:rPr>
              <w:t>3</w:t>
            </w:r>
          </w:p>
          <w:p w14:paraId="3790CFCB" w14:textId="77777777" w:rsidR="00CB7A57" w:rsidRDefault="003B1641">
            <w:pPr>
              <w:spacing w:after="0" w:line="259" w:lineRule="auto"/>
              <w:ind w:left="391" w:firstLine="0"/>
              <w:jc w:val="left"/>
            </w:pPr>
            <w:r>
              <w:rPr>
                <w:rFonts w:ascii="Calibri" w:eastAsia="Calibri" w:hAnsi="Calibri" w:cs="Calibri"/>
                <w:sz w:val="16"/>
              </w:rPr>
              <w:t>Gillette returns only through 2004, when it was purchased by Procter &amp; Gamble.</w:t>
            </w:r>
          </w:p>
        </w:tc>
      </w:tr>
    </w:tbl>
    <w:p w14:paraId="5F7F7118" w14:textId="77777777" w:rsidR="00CB7A57" w:rsidRDefault="003B1641">
      <w:pPr>
        <w:pStyle w:val="2"/>
        <w:spacing w:after="130"/>
        <w:ind w:left="-5"/>
      </w:pPr>
      <w:r>
        <w:t>WeaknessesofThisStudy</w:t>
      </w:r>
    </w:p>
    <w:p w14:paraId="37229B95" w14:textId="77777777" w:rsidR="00CB7A57" w:rsidRDefault="003B1641">
      <w:pPr>
        <w:spacing w:after="476"/>
      </w:pPr>
      <w:r>
        <w:t>As with any statistical study, there</w:t>
      </w:r>
      <w:r>
        <w:t xml:space="preserve"> are several reasons the results of our study could be inadequate. For example, it could be that the 11 GTG firms abandoned the GTG principles during the time period we examined. If this were somehow true, the average performance of these firms could be co</w:t>
      </w:r>
      <w:r>
        <w:t>nsistent with Collins’ claims. Given the power of inertia in a firm, the probability of this occurring for 10 of the 11 GTG firms (excepting Walgreens) seems low. It should be pointed out, however, that any failure on our part to provide adequate results d</w:t>
      </w:r>
      <w:r>
        <w:t>oes not suggest that Collins’ methodology is correct. Our objective is to test his claims, and while we may have failed to adequately test those claims, his method is still definitely flawed.</w:t>
      </w:r>
    </w:p>
    <w:p w14:paraId="45B77241" w14:textId="77777777" w:rsidR="00CB7A57" w:rsidRDefault="003B1641">
      <w:pPr>
        <w:ind w:left="0" w:firstLine="1288"/>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237DCD0B" wp14:editId="2C2FD938">
                <wp:simplePos x="0" y="0"/>
                <wp:positionH relativeFrom="column">
                  <wp:posOffset>0</wp:posOffset>
                </wp:positionH>
                <wp:positionV relativeFrom="paragraph">
                  <wp:posOffset>148868</wp:posOffset>
                </wp:positionV>
                <wp:extent cx="360883" cy="657758"/>
                <wp:effectExtent l="0" t="0" r="0" b="0"/>
                <wp:wrapSquare wrapText="bothSides"/>
                <wp:docPr id="17991" name="Group 17991"/>
                <wp:cNvGraphicFramePr/>
                <a:graphic xmlns:a="http://schemas.openxmlformats.org/drawingml/2006/main">
                  <a:graphicData uri="http://schemas.microsoft.com/office/word/2010/wordprocessingGroup">
                    <wpg:wgp>
                      <wpg:cNvGrpSpPr/>
                      <wpg:grpSpPr>
                        <a:xfrm>
                          <a:off x="0" y="0"/>
                          <a:ext cx="360883" cy="657758"/>
                          <a:chOff x="0" y="0"/>
                          <a:chExt cx="360883" cy="657758"/>
                        </a:xfrm>
                      </wpg:grpSpPr>
                      <wps:wsp>
                        <wps:cNvPr id="666" name="Rectangle 666"/>
                        <wps:cNvSpPr/>
                        <wps:spPr>
                          <a:xfrm>
                            <a:off x="0" y="0"/>
                            <a:ext cx="479975" cy="874819"/>
                          </a:xfrm>
                          <a:prstGeom prst="rect">
                            <a:avLst/>
                          </a:prstGeom>
                          <a:ln>
                            <a:noFill/>
                          </a:ln>
                        </wps:spPr>
                        <wps:txbx>
                          <w:txbxContent>
                            <w:p w14:paraId="4FEF85CB" w14:textId="77777777" w:rsidR="00CB7A57" w:rsidRDefault="003B1641">
                              <w:pPr>
                                <w:spacing w:after="160" w:line="259" w:lineRule="auto"/>
                                <w:ind w:left="0" w:firstLine="0"/>
                                <w:jc w:val="left"/>
                              </w:pPr>
                              <w:r>
                                <w:rPr>
                                  <w:rFonts w:ascii="Calibri" w:eastAsia="Calibri" w:hAnsi="Calibri" w:cs="Calibri"/>
                                  <w:w w:val="67"/>
                                  <w:sz w:val="96"/>
                                </w:rPr>
                                <w:t>W</w:t>
                              </w:r>
                            </w:p>
                          </w:txbxContent>
                        </wps:txbx>
                        <wps:bodyPr horzOverflow="overflow" vert="horz" lIns="0" tIns="0" rIns="0" bIns="0" rtlCol="0">
                          <a:noAutofit/>
                        </wps:bodyPr>
                      </wps:wsp>
                    </wpg:wgp>
                  </a:graphicData>
                </a:graphic>
              </wp:anchor>
            </w:drawing>
          </mc:Choice>
          <mc:Fallback xmlns:a="http://schemas.openxmlformats.org/drawingml/2006/main">
            <w:pict>
              <v:group id="Group 17991" style="width:28.416pt;height:51.792pt;position:absolute;mso-position-horizontal-relative:text;mso-position-horizontal:absolute;margin-left:0pt;mso-position-vertical-relative:text;margin-top:11.7219pt;" coordsize="3608,6577">
                <v:rect id="Rectangle 666" style="position:absolute;width:4799;height:8748;left:0;top:0;" filled="f" stroked="f">
                  <v:textbox inset="0,0,0,0">
                    <w:txbxContent>
                      <w:p>
                        <w:pPr>
                          <w:spacing w:before="0" w:after="160" w:line="259" w:lineRule="auto"/>
                          <w:ind w:left="0" w:firstLine="0"/>
                          <w:jc w:val="left"/>
                        </w:pPr>
                        <w:r>
                          <w:rPr>
                            <w:rFonts w:cs="Calibri" w:hAnsi="Calibri" w:eastAsia="Calibri" w:ascii="Calibri"/>
                            <w:w w:val="67"/>
                            <w:sz w:val="96"/>
                          </w:rPr>
                          <w:t xml:space="preserve">W</w:t>
                        </w:r>
                      </w:p>
                    </w:txbxContent>
                  </v:textbox>
                </v:rect>
                <w10:wrap type="square"/>
              </v:group>
            </w:pict>
          </mc:Fallback>
        </mc:AlternateContent>
      </w:r>
      <w:r>
        <w:rPr>
          <w:rFonts w:ascii="Calibri" w:eastAsia="Calibri" w:hAnsi="Calibri" w:cs="Calibri"/>
          <w:b/>
        </w:rPr>
        <w:t xml:space="preserve">Conclusion </w:t>
      </w:r>
      <w:r>
        <w:t>e have provided both statistical arguments and empirical evidence regarding Collins’ claim that adopting the GTG concepts leads to “sustained great results.” Empirical evidence provides no support for this claim. When ranked with the 2006 Fortune 500 compa</w:t>
      </w:r>
      <w:r>
        <w:t>nies based on</w:t>
      </w:r>
    </w:p>
    <w:tbl>
      <w:tblPr>
        <w:tblStyle w:val="TableGrid"/>
        <w:tblpPr w:vertAnchor="text" w:horzAnchor="margin"/>
        <w:tblOverlap w:val="never"/>
        <w:tblW w:w="10081" w:type="dxa"/>
        <w:tblInd w:w="0" w:type="dxa"/>
        <w:tblCellMar>
          <w:top w:w="0" w:type="dxa"/>
          <w:left w:w="0" w:type="dxa"/>
          <w:bottom w:w="0" w:type="dxa"/>
          <w:right w:w="0" w:type="dxa"/>
        </w:tblCellMar>
        <w:tblLook w:val="04A0" w:firstRow="1" w:lastRow="0" w:firstColumn="1" w:lastColumn="0" w:noHBand="0" w:noVBand="1"/>
      </w:tblPr>
      <w:tblGrid>
        <w:gridCol w:w="10086"/>
      </w:tblGrid>
      <w:tr w:rsidR="00CB7A57" w14:paraId="2060C421" w14:textId="77777777">
        <w:trPr>
          <w:trHeight w:val="9779"/>
        </w:trPr>
        <w:tc>
          <w:tcPr>
            <w:tcW w:w="10083" w:type="dxa"/>
            <w:tcBorders>
              <w:top w:val="nil"/>
              <w:left w:val="nil"/>
              <w:bottom w:val="nil"/>
              <w:right w:val="nil"/>
            </w:tcBorders>
          </w:tcPr>
          <w:p w14:paraId="29A6FA43" w14:textId="77777777" w:rsidR="00CB7A57" w:rsidRDefault="003B1641">
            <w:pPr>
              <w:spacing w:after="0" w:line="259" w:lineRule="auto"/>
              <w:ind w:left="0" w:firstLine="0"/>
              <w:jc w:val="left"/>
            </w:pPr>
            <w:r>
              <w:rPr>
                <w:rFonts w:ascii="Calibri" w:eastAsia="Calibri" w:hAnsi="Calibri" w:cs="Calibri"/>
                <w:b/>
                <w:sz w:val="22"/>
              </w:rPr>
              <w:t>Table3</w:t>
            </w:r>
          </w:p>
          <w:p w14:paraId="05DB9D3B" w14:textId="77777777" w:rsidR="00CB7A57" w:rsidRDefault="003B1641">
            <w:pPr>
              <w:spacing w:after="0" w:line="259" w:lineRule="auto"/>
              <w:ind w:left="0" w:firstLine="0"/>
              <w:jc w:val="left"/>
            </w:pPr>
            <w:r>
              <w:rPr>
                <w:rFonts w:ascii="Calibri" w:eastAsia="Calibri" w:hAnsi="Calibri" w:cs="Calibri"/>
                <w:b/>
                <w:sz w:val="22"/>
              </w:rPr>
              <w:t>Testsof</w:t>
            </w:r>
            <w:r>
              <w:rPr>
                <w:rFonts w:ascii="Calibri" w:eastAsia="Calibri" w:hAnsi="Calibri" w:cs="Calibri"/>
                <w:b/>
                <w:i/>
                <w:sz w:val="22"/>
              </w:rPr>
              <w:t>GoodtoGreat</w:t>
            </w:r>
            <w:r>
              <w:rPr>
                <w:rFonts w:ascii="Calibri" w:eastAsia="Calibri" w:hAnsi="Calibri" w:cs="Calibri"/>
                <w:b/>
                <w:sz w:val="22"/>
              </w:rPr>
              <w:t>FirmReturnsAgainsttheS&amp;P500</w:t>
            </w:r>
          </w:p>
          <w:tbl>
            <w:tblPr>
              <w:tblStyle w:val="TableGrid"/>
              <w:tblW w:w="10072" w:type="dxa"/>
              <w:tblInd w:w="4" w:type="dxa"/>
              <w:tblCellMar>
                <w:top w:w="52" w:type="dxa"/>
                <w:left w:w="0" w:type="dxa"/>
                <w:bottom w:w="10" w:type="dxa"/>
                <w:right w:w="30" w:type="dxa"/>
              </w:tblCellMar>
              <w:tblLook w:val="04A0" w:firstRow="1" w:lastRow="0" w:firstColumn="1" w:lastColumn="0" w:noHBand="0" w:noVBand="1"/>
            </w:tblPr>
            <w:tblGrid>
              <w:gridCol w:w="3382"/>
              <w:gridCol w:w="760"/>
              <w:gridCol w:w="979"/>
              <w:gridCol w:w="1506"/>
              <w:gridCol w:w="915"/>
              <w:gridCol w:w="958"/>
              <w:gridCol w:w="1572"/>
            </w:tblGrid>
            <w:tr w:rsidR="00CB7A57" w14:paraId="5C886660" w14:textId="77777777">
              <w:trPr>
                <w:trHeight w:val="301"/>
              </w:trPr>
              <w:tc>
                <w:tcPr>
                  <w:tcW w:w="7498" w:type="dxa"/>
                  <w:gridSpan w:val="5"/>
                  <w:tcBorders>
                    <w:top w:val="single" w:sz="4" w:space="0" w:color="181717"/>
                    <w:left w:val="single" w:sz="4" w:space="0" w:color="181717"/>
                    <w:bottom w:val="nil"/>
                    <w:right w:val="nil"/>
                  </w:tcBorders>
                  <w:shd w:val="clear" w:color="auto" w:fill="BFBFBF"/>
                </w:tcPr>
                <w:p w14:paraId="552B9F73" w14:textId="77777777" w:rsidR="00CB7A57" w:rsidRDefault="003B1641">
                  <w:pPr>
                    <w:framePr w:wrap="around" w:vAnchor="text" w:hAnchor="margin"/>
                    <w:spacing w:after="0" w:line="259" w:lineRule="auto"/>
                    <w:ind w:left="3930" w:firstLine="0"/>
                    <w:suppressOverlap/>
                    <w:jc w:val="left"/>
                  </w:pPr>
                  <w:r>
                    <w:rPr>
                      <w:rFonts w:ascii="Calibri" w:eastAsia="Calibri" w:hAnsi="Calibri" w:cs="Calibri"/>
                      <w:b/>
                      <w:sz w:val="22"/>
                    </w:rPr>
                    <w:t>Panel 1: 1996 through 2005</w:t>
                  </w:r>
                </w:p>
              </w:tc>
              <w:tc>
                <w:tcPr>
                  <w:tcW w:w="972" w:type="dxa"/>
                  <w:tcBorders>
                    <w:top w:val="single" w:sz="4" w:space="0" w:color="181717"/>
                    <w:left w:val="nil"/>
                    <w:bottom w:val="single" w:sz="4" w:space="0" w:color="181717"/>
                    <w:right w:val="nil"/>
                  </w:tcBorders>
                  <w:shd w:val="clear" w:color="auto" w:fill="BFBFBF"/>
                </w:tcPr>
                <w:p w14:paraId="0590CF67" w14:textId="77777777" w:rsidR="00CB7A57" w:rsidRDefault="00CB7A57">
                  <w:pPr>
                    <w:framePr w:wrap="around" w:vAnchor="text" w:hAnchor="margin"/>
                    <w:spacing w:after="160" w:line="259" w:lineRule="auto"/>
                    <w:ind w:left="0" w:firstLine="0"/>
                    <w:suppressOverlap/>
                    <w:jc w:val="left"/>
                  </w:pPr>
                </w:p>
              </w:tc>
              <w:tc>
                <w:tcPr>
                  <w:tcW w:w="1602" w:type="dxa"/>
                  <w:vMerge w:val="restart"/>
                  <w:tcBorders>
                    <w:top w:val="single" w:sz="4" w:space="0" w:color="181717"/>
                    <w:left w:val="nil"/>
                    <w:bottom w:val="single" w:sz="4" w:space="0" w:color="181717"/>
                    <w:right w:val="single" w:sz="4" w:space="0" w:color="181717"/>
                  </w:tcBorders>
                  <w:shd w:val="clear" w:color="auto" w:fill="BFBFBF"/>
                  <w:vAlign w:val="bottom"/>
                </w:tcPr>
                <w:p w14:paraId="1F7166FB" w14:textId="77777777" w:rsidR="00CB7A57" w:rsidRDefault="003B1641">
                  <w:pPr>
                    <w:framePr w:wrap="around" w:vAnchor="text" w:hAnchor="margin"/>
                    <w:spacing w:after="0" w:line="259" w:lineRule="auto"/>
                    <w:ind w:left="57" w:firstLine="0"/>
                    <w:suppressOverlap/>
                    <w:jc w:val="left"/>
                  </w:pPr>
                  <w:r>
                    <w:rPr>
                      <w:rFonts w:ascii="Calibri" w:eastAsia="Calibri" w:hAnsi="Calibri" w:cs="Calibri"/>
                      <w:sz w:val="22"/>
                    </w:rPr>
                    <w:t>p-Value</w:t>
                  </w:r>
                </w:p>
              </w:tc>
            </w:tr>
            <w:tr w:rsidR="00CB7A57" w14:paraId="0E257EC6" w14:textId="77777777">
              <w:trPr>
                <w:trHeight w:val="371"/>
              </w:trPr>
              <w:tc>
                <w:tcPr>
                  <w:tcW w:w="4169" w:type="dxa"/>
                  <w:gridSpan w:val="2"/>
                  <w:tcBorders>
                    <w:top w:val="nil"/>
                    <w:left w:val="single" w:sz="4" w:space="0" w:color="181717"/>
                    <w:bottom w:val="single" w:sz="4" w:space="0" w:color="181717"/>
                    <w:right w:val="single" w:sz="4" w:space="0" w:color="181717"/>
                  </w:tcBorders>
                  <w:shd w:val="clear" w:color="auto" w:fill="BFBFBF"/>
                  <w:vAlign w:val="bottom"/>
                </w:tcPr>
                <w:p w14:paraId="77CC5DBE" w14:textId="77777777" w:rsidR="00CB7A57" w:rsidRDefault="003B1641">
                  <w:pPr>
                    <w:framePr w:wrap="around" w:vAnchor="text" w:hAnchor="margin"/>
                    <w:spacing w:after="0" w:line="259" w:lineRule="auto"/>
                    <w:ind w:left="36" w:firstLine="0"/>
                    <w:suppressOverlap/>
                    <w:jc w:val="center"/>
                  </w:pPr>
                  <w:r>
                    <w:rPr>
                      <w:rFonts w:ascii="Calibri" w:eastAsia="Calibri" w:hAnsi="Calibri" w:cs="Calibri"/>
                      <w:sz w:val="22"/>
                    </w:rPr>
                    <w:t>Firm</w:t>
                  </w:r>
                </w:p>
              </w:tc>
              <w:tc>
                <w:tcPr>
                  <w:tcW w:w="3329" w:type="dxa"/>
                  <w:gridSpan w:val="3"/>
                  <w:tcBorders>
                    <w:top w:val="single" w:sz="4" w:space="0" w:color="181717"/>
                    <w:left w:val="single" w:sz="4" w:space="0" w:color="181717"/>
                    <w:bottom w:val="single" w:sz="4" w:space="0" w:color="181717"/>
                    <w:right w:val="single" w:sz="4" w:space="0" w:color="181717"/>
                  </w:tcBorders>
                  <w:shd w:val="clear" w:color="auto" w:fill="BFBFBF"/>
                  <w:vAlign w:val="bottom"/>
                </w:tcPr>
                <w:p w14:paraId="76353F4D"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2"/>
                    </w:rPr>
                    <w:t>Paired Test Statistic</w:t>
                  </w:r>
                </w:p>
              </w:tc>
              <w:tc>
                <w:tcPr>
                  <w:tcW w:w="972" w:type="dxa"/>
                  <w:tcBorders>
                    <w:top w:val="single" w:sz="4" w:space="0" w:color="181717"/>
                    <w:left w:val="single" w:sz="4" w:space="0" w:color="181717"/>
                    <w:bottom w:val="single" w:sz="4" w:space="0" w:color="181717"/>
                    <w:right w:val="nil"/>
                  </w:tcBorders>
                  <w:shd w:val="clear" w:color="auto" w:fill="BFBFBF"/>
                </w:tcPr>
                <w:p w14:paraId="73CA61C8" w14:textId="77777777" w:rsidR="00CB7A57" w:rsidRDefault="00CB7A57">
                  <w:pPr>
                    <w:framePr w:wrap="around" w:vAnchor="text" w:hAnchor="margin"/>
                    <w:spacing w:after="160" w:line="259" w:lineRule="auto"/>
                    <w:ind w:left="0" w:firstLine="0"/>
                    <w:suppressOverlap/>
                    <w:jc w:val="left"/>
                  </w:pPr>
                </w:p>
              </w:tc>
              <w:tc>
                <w:tcPr>
                  <w:tcW w:w="0" w:type="auto"/>
                  <w:vMerge/>
                  <w:tcBorders>
                    <w:top w:val="nil"/>
                    <w:left w:val="nil"/>
                    <w:bottom w:val="single" w:sz="4" w:space="0" w:color="181717"/>
                    <w:right w:val="single" w:sz="4" w:space="0" w:color="181717"/>
                  </w:tcBorders>
                </w:tcPr>
                <w:p w14:paraId="36163CC1" w14:textId="77777777" w:rsidR="00CB7A57" w:rsidRDefault="00CB7A57">
                  <w:pPr>
                    <w:framePr w:wrap="around" w:vAnchor="text" w:hAnchor="margin"/>
                    <w:spacing w:after="160" w:line="259" w:lineRule="auto"/>
                    <w:ind w:left="0" w:firstLine="0"/>
                    <w:suppressOverlap/>
                    <w:jc w:val="left"/>
                  </w:pPr>
                </w:p>
              </w:tc>
            </w:tr>
            <w:tr w:rsidR="00CB7A57" w14:paraId="4EE85BD9" w14:textId="77777777">
              <w:trPr>
                <w:trHeight w:val="289"/>
              </w:trPr>
              <w:tc>
                <w:tcPr>
                  <w:tcW w:w="4169" w:type="dxa"/>
                  <w:gridSpan w:val="2"/>
                  <w:tcBorders>
                    <w:top w:val="single" w:sz="4" w:space="0" w:color="181717"/>
                    <w:left w:val="single" w:sz="4" w:space="0" w:color="181717"/>
                    <w:bottom w:val="single" w:sz="4" w:space="0" w:color="181717"/>
                    <w:right w:val="single" w:sz="4" w:space="0" w:color="181717"/>
                  </w:tcBorders>
                </w:tcPr>
                <w:p w14:paraId="4F7D306B" w14:textId="77777777" w:rsidR="00CB7A57" w:rsidRDefault="003B1641">
                  <w:pPr>
                    <w:framePr w:wrap="around" w:vAnchor="text" w:hAnchor="margin"/>
                    <w:spacing w:after="0" w:line="259" w:lineRule="auto"/>
                    <w:ind w:left="1025" w:firstLine="0"/>
                    <w:suppressOverlap/>
                    <w:jc w:val="left"/>
                  </w:pPr>
                  <w:r>
                    <w:rPr>
                      <w:rFonts w:ascii="Calibri" w:eastAsia="Calibri" w:hAnsi="Calibri" w:cs="Calibri"/>
                      <w:b/>
                      <w:sz w:val="20"/>
                    </w:rPr>
                    <w:t>Abbott Laboratories</w:t>
                  </w:r>
                </w:p>
              </w:tc>
              <w:tc>
                <w:tcPr>
                  <w:tcW w:w="3329" w:type="dxa"/>
                  <w:gridSpan w:val="3"/>
                  <w:tcBorders>
                    <w:top w:val="single" w:sz="4" w:space="0" w:color="181717"/>
                    <w:left w:val="single" w:sz="4" w:space="0" w:color="181717"/>
                    <w:bottom w:val="single" w:sz="4" w:space="0" w:color="181717"/>
                    <w:right w:val="single" w:sz="4" w:space="0" w:color="181717"/>
                  </w:tcBorders>
                </w:tcPr>
                <w:p w14:paraId="10B76572"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0.427</w:t>
                  </w:r>
                </w:p>
              </w:tc>
              <w:tc>
                <w:tcPr>
                  <w:tcW w:w="972" w:type="dxa"/>
                  <w:tcBorders>
                    <w:top w:val="single" w:sz="4" w:space="0" w:color="181717"/>
                    <w:left w:val="single" w:sz="4" w:space="0" w:color="181717"/>
                    <w:bottom w:val="single" w:sz="4" w:space="0" w:color="181717"/>
                    <w:right w:val="nil"/>
                  </w:tcBorders>
                </w:tcPr>
                <w:p w14:paraId="66BB8175"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4" w:space="0" w:color="181717"/>
                    <w:right w:val="single" w:sz="4" w:space="0" w:color="181717"/>
                  </w:tcBorders>
                </w:tcPr>
                <w:p w14:paraId="42624470" w14:textId="77777777" w:rsidR="00CB7A57" w:rsidRDefault="003B1641">
                  <w:pPr>
                    <w:framePr w:wrap="around" w:vAnchor="text" w:hAnchor="margin"/>
                    <w:spacing w:after="0" w:line="259" w:lineRule="auto"/>
                    <w:ind w:left="107" w:firstLine="0"/>
                    <w:suppressOverlap/>
                    <w:jc w:val="left"/>
                  </w:pPr>
                  <w:r>
                    <w:rPr>
                      <w:rFonts w:ascii="Calibri" w:eastAsia="Calibri" w:hAnsi="Calibri" w:cs="Calibri"/>
                      <w:sz w:val="20"/>
                    </w:rPr>
                    <w:t>0.335</w:t>
                  </w:r>
                </w:p>
              </w:tc>
            </w:tr>
            <w:tr w:rsidR="00CB7A57" w14:paraId="351DC27E" w14:textId="77777777">
              <w:trPr>
                <w:trHeight w:val="290"/>
              </w:trPr>
              <w:tc>
                <w:tcPr>
                  <w:tcW w:w="4169" w:type="dxa"/>
                  <w:gridSpan w:val="2"/>
                  <w:tcBorders>
                    <w:top w:val="single" w:sz="4" w:space="0" w:color="181717"/>
                    <w:left w:val="single" w:sz="4" w:space="0" w:color="181717"/>
                    <w:bottom w:val="single" w:sz="4" w:space="0" w:color="181717"/>
                    <w:right w:val="single" w:sz="4" w:space="0" w:color="181717"/>
                  </w:tcBorders>
                </w:tcPr>
                <w:p w14:paraId="43186188" w14:textId="77777777" w:rsidR="00CB7A57" w:rsidRDefault="003B1641">
                  <w:pPr>
                    <w:framePr w:wrap="around" w:vAnchor="text" w:hAnchor="margin"/>
                    <w:spacing w:after="0" w:line="259" w:lineRule="auto"/>
                    <w:ind w:left="17" w:firstLine="0"/>
                    <w:suppressOverlap/>
                    <w:jc w:val="center"/>
                  </w:pPr>
                  <w:r>
                    <w:rPr>
                      <w:rFonts w:ascii="Calibri" w:eastAsia="Calibri" w:hAnsi="Calibri" w:cs="Calibri"/>
                      <w:b/>
                      <w:sz w:val="20"/>
                    </w:rPr>
                    <w:t>Altria (formerly Philip Morris)</w:t>
                  </w:r>
                </w:p>
              </w:tc>
              <w:tc>
                <w:tcPr>
                  <w:tcW w:w="3329" w:type="dxa"/>
                  <w:gridSpan w:val="3"/>
                  <w:tcBorders>
                    <w:top w:val="single" w:sz="4" w:space="0" w:color="181717"/>
                    <w:left w:val="single" w:sz="4" w:space="0" w:color="181717"/>
                    <w:bottom w:val="single" w:sz="4" w:space="0" w:color="181717"/>
                    <w:right w:val="single" w:sz="4" w:space="0" w:color="181717"/>
                  </w:tcBorders>
                </w:tcPr>
                <w:p w14:paraId="1962861C"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1.261</w:t>
                  </w:r>
                </w:p>
              </w:tc>
              <w:tc>
                <w:tcPr>
                  <w:tcW w:w="972" w:type="dxa"/>
                  <w:tcBorders>
                    <w:top w:val="single" w:sz="4" w:space="0" w:color="181717"/>
                    <w:left w:val="single" w:sz="4" w:space="0" w:color="181717"/>
                    <w:bottom w:val="single" w:sz="4" w:space="0" w:color="181717"/>
                    <w:right w:val="nil"/>
                  </w:tcBorders>
                </w:tcPr>
                <w:p w14:paraId="73BFA2A1"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4" w:space="0" w:color="181717"/>
                    <w:right w:val="single" w:sz="4" w:space="0" w:color="181717"/>
                  </w:tcBorders>
                </w:tcPr>
                <w:p w14:paraId="19CEFF1D" w14:textId="77777777" w:rsidR="00CB7A57" w:rsidRDefault="003B1641">
                  <w:pPr>
                    <w:framePr w:wrap="around" w:vAnchor="text" w:hAnchor="margin"/>
                    <w:spacing w:after="0" w:line="259" w:lineRule="auto"/>
                    <w:ind w:left="107" w:firstLine="0"/>
                    <w:suppressOverlap/>
                    <w:jc w:val="left"/>
                  </w:pPr>
                  <w:r>
                    <w:rPr>
                      <w:rFonts w:ascii="Calibri" w:eastAsia="Calibri" w:hAnsi="Calibri" w:cs="Calibri"/>
                      <w:sz w:val="20"/>
                    </w:rPr>
                    <w:t>0.105</w:t>
                  </w:r>
                </w:p>
              </w:tc>
            </w:tr>
            <w:tr w:rsidR="00CB7A57" w14:paraId="15432276" w14:textId="77777777">
              <w:trPr>
                <w:trHeight w:val="290"/>
              </w:trPr>
              <w:tc>
                <w:tcPr>
                  <w:tcW w:w="4169" w:type="dxa"/>
                  <w:gridSpan w:val="2"/>
                  <w:tcBorders>
                    <w:top w:val="single" w:sz="4" w:space="0" w:color="181717"/>
                    <w:left w:val="single" w:sz="4" w:space="0" w:color="181717"/>
                    <w:bottom w:val="single" w:sz="4" w:space="0" w:color="181717"/>
                    <w:right w:val="single" w:sz="4" w:space="0" w:color="181717"/>
                  </w:tcBorders>
                </w:tcPr>
                <w:p w14:paraId="51BB3623" w14:textId="77777777" w:rsidR="00CB7A57" w:rsidRDefault="003B1641">
                  <w:pPr>
                    <w:framePr w:wrap="around" w:vAnchor="text" w:hAnchor="margin"/>
                    <w:spacing w:after="0" w:line="259" w:lineRule="auto"/>
                    <w:ind w:left="1025" w:firstLine="0"/>
                    <w:suppressOverlap/>
                    <w:jc w:val="left"/>
                  </w:pPr>
                  <w:r>
                    <w:rPr>
                      <w:rFonts w:ascii="Calibri" w:eastAsia="Calibri" w:hAnsi="Calibri" w:cs="Calibri"/>
                      <w:b/>
                      <w:sz w:val="20"/>
                    </w:rPr>
                    <w:t>Circuit City Stores</w:t>
                  </w:r>
                </w:p>
              </w:tc>
              <w:tc>
                <w:tcPr>
                  <w:tcW w:w="3329" w:type="dxa"/>
                  <w:gridSpan w:val="3"/>
                  <w:tcBorders>
                    <w:top w:val="single" w:sz="4" w:space="0" w:color="181717"/>
                    <w:left w:val="single" w:sz="4" w:space="0" w:color="181717"/>
                    <w:bottom w:val="single" w:sz="4" w:space="0" w:color="181717"/>
                    <w:right w:val="single" w:sz="4" w:space="0" w:color="181717"/>
                  </w:tcBorders>
                </w:tcPr>
                <w:p w14:paraId="1618B8CE"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1.098</w:t>
                  </w:r>
                </w:p>
              </w:tc>
              <w:tc>
                <w:tcPr>
                  <w:tcW w:w="972" w:type="dxa"/>
                  <w:tcBorders>
                    <w:top w:val="single" w:sz="4" w:space="0" w:color="181717"/>
                    <w:left w:val="single" w:sz="4" w:space="0" w:color="181717"/>
                    <w:bottom w:val="single" w:sz="4" w:space="0" w:color="181717"/>
                    <w:right w:val="nil"/>
                  </w:tcBorders>
                </w:tcPr>
                <w:p w14:paraId="4D767361"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4" w:space="0" w:color="181717"/>
                    <w:right w:val="single" w:sz="4" w:space="0" w:color="181717"/>
                  </w:tcBorders>
                </w:tcPr>
                <w:p w14:paraId="54352116" w14:textId="77777777" w:rsidR="00CB7A57" w:rsidRDefault="003B1641">
                  <w:pPr>
                    <w:framePr w:wrap="around" w:vAnchor="text" w:hAnchor="margin"/>
                    <w:spacing w:after="0" w:line="259" w:lineRule="auto"/>
                    <w:ind w:left="107" w:firstLine="0"/>
                    <w:suppressOverlap/>
                    <w:jc w:val="left"/>
                  </w:pPr>
                  <w:r>
                    <w:rPr>
                      <w:rFonts w:ascii="Calibri" w:eastAsia="Calibri" w:hAnsi="Calibri" w:cs="Calibri"/>
                      <w:sz w:val="20"/>
                    </w:rPr>
                    <w:t>0.137</w:t>
                  </w:r>
                </w:p>
              </w:tc>
            </w:tr>
            <w:tr w:rsidR="00CB7A57" w14:paraId="31DE51AA" w14:textId="77777777">
              <w:trPr>
                <w:trHeight w:val="530"/>
              </w:trPr>
              <w:tc>
                <w:tcPr>
                  <w:tcW w:w="4169" w:type="dxa"/>
                  <w:gridSpan w:val="2"/>
                  <w:tcBorders>
                    <w:top w:val="single" w:sz="4" w:space="0" w:color="181717"/>
                    <w:left w:val="single" w:sz="4" w:space="0" w:color="181717"/>
                    <w:bottom w:val="single" w:sz="4" w:space="0" w:color="181717"/>
                    <w:right w:val="single" w:sz="4" w:space="0" w:color="181717"/>
                  </w:tcBorders>
                </w:tcPr>
                <w:p w14:paraId="4B8DB7B2" w14:textId="77777777" w:rsidR="00CB7A57" w:rsidRDefault="003B1641">
                  <w:pPr>
                    <w:framePr w:wrap="around" w:vAnchor="text" w:hAnchor="margin"/>
                    <w:spacing w:after="0" w:line="259" w:lineRule="auto"/>
                    <w:ind w:left="1225" w:right="409" w:hanging="200"/>
                    <w:suppressOverlap/>
                    <w:jc w:val="left"/>
                  </w:pPr>
                  <w:r>
                    <w:rPr>
                      <w:rFonts w:ascii="Calibri" w:eastAsia="Calibri" w:hAnsi="Calibri" w:cs="Calibri"/>
                      <w:b/>
                      <w:sz w:val="20"/>
                    </w:rPr>
                    <w:t>Federal National Mortgage Association</w:t>
                  </w:r>
                </w:p>
              </w:tc>
              <w:tc>
                <w:tcPr>
                  <w:tcW w:w="3329" w:type="dxa"/>
                  <w:gridSpan w:val="3"/>
                  <w:tcBorders>
                    <w:top w:val="single" w:sz="4" w:space="0" w:color="181717"/>
                    <w:left w:val="single" w:sz="4" w:space="0" w:color="181717"/>
                    <w:bottom w:val="single" w:sz="4" w:space="0" w:color="181717"/>
                    <w:right w:val="single" w:sz="4" w:space="0" w:color="181717"/>
                  </w:tcBorders>
                </w:tcPr>
                <w:p w14:paraId="16CD15A9"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0.672</w:t>
                  </w:r>
                </w:p>
              </w:tc>
              <w:tc>
                <w:tcPr>
                  <w:tcW w:w="972" w:type="dxa"/>
                  <w:tcBorders>
                    <w:top w:val="single" w:sz="4" w:space="0" w:color="181717"/>
                    <w:left w:val="single" w:sz="4" w:space="0" w:color="181717"/>
                    <w:bottom w:val="single" w:sz="4" w:space="0" w:color="181717"/>
                    <w:right w:val="nil"/>
                  </w:tcBorders>
                </w:tcPr>
                <w:p w14:paraId="54C4C0BF"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4" w:space="0" w:color="181717"/>
                    <w:right w:val="single" w:sz="4" w:space="0" w:color="181717"/>
                  </w:tcBorders>
                </w:tcPr>
                <w:p w14:paraId="1B233CC0" w14:textId="77777777" w:rsidR="00CB7A57" w:rsidRDefault="003B1641">
                  <w:pPr>
                    <w:framePr w:wrap="around" w:vAnchor="text" w:hAnchor="margin"/>
                    <w:spacing w:after="0" w:line="259" w:lineRule="auto"/>
                    <w:ind w:left="107" w:firstLine="0"/>
                    <w:suppressOverlap/>
                    <w:jc w:val="left"/>
                  </w:pPr>
                  <w:r>
                    <w:rPr>
                      <w:rFonts w:ascii="Calibri" w:eastAsia="Calibri" w:hAnsi="Calibri" w:cs="Calibri"/>
                      <w:sz w:val="20"/>
                    </w:rPr>
                    <w:t>0.251</w:t>
                  </w:r>
                </w:p>
              </w:tc>
            </w:tr>
            <w:tr w:rsidR="00CB7A57" w14:paraId="7CB4062A" w14:textId="77777777">
              <w:trPr>
                <w:trHeight w:val="290"/>
              </w:trPr>
              <w:tc>
                <w:tcPr>
                  <w:tcW w:w="4169" w:type="dxa"/>
                  <w:gridSpan w:val="2"/>
                  <w:tcBorders>
                    <w:top w:val="single" w:sz="4" w:space="0" w:color="181717"/>
                    <w:left w:val="single" w:sz="4" w:space="0" w:color="181717"/>
                    <w:bottom w:val="single" w:sz="4" w:space="0" w:color="181717"/>
                    <w:right w:val="single" w:sz="4" w:space="0" w:color="181717"/>
                  </w:tcBorders>
                </w:tcPr>
                <w:p w14:paraId="38EFBE46" w14:textId="77777777" w:rsidR="00CB7A57" w:rsidRDefault="003B1641">
                  <w:pPr>
                    <w:framePr w:wrap="around" w:vAnchor="text" w:hAnchor="margin"/>
                    <w:spacing w:after="0" w:line="259" w:lineRule="auto"/>
                    <w:ind w:left="1025" w:firstLine="0"/>
                    <w:suppressOverlap/>
                    <w:jc w:val="left"/>
                  </w:pPr>
                  <w:r>
                    <w:rPr>
                      <w:rFonts w:ascii="Calibri" w:eastAsia="Calibri" w:hAnsi="Calibri" w:cs="Calibri"/>
                      <w:b/>
                      <w:sz w:val="20"/>
                    </w:rPr>
                    <w:t>Gillette*</w:t>
                  </w:r>
                </w:p>
              </w:tc>
              <w:tc>
                <w:tcPr>
                  <w:tcW w:w="3329" w:type="dxa"/>
                  <w:gridSpan w:val="3"/>
                  <w:tcBorders>
                    <w:top w:val="single" w:sz="4" w:space="0" w:color="181717"/>
                    <w:left w:val="single" w:sz="4" w:space="0" w:color="181717"/>
                    <w:bottom w:val="single" w:sz="4" w:space="0" w:color="181717"/>
                    <w:right w:val="single" w:sz="4" w:space="0" w:color="181717"/>
                  </w:tcBorders>
                </w:tcPr>
                <w:p w14:paraId="60636343"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0.436</w:t>
                  </w:r>
                </w:p>
              </w:tc>
              <w:tc>
                <w:tcPr>
                  <w:tcW w:w="972" w:type="dxa"/>
                  <w:tcBorders>
                    <w:top w:val="single" w:sz="4" w:space="0" w:color="181717"/>
                    <w:left w:val="single" w:sz="4" w:space="0" w:color="181717"/>
                    <w:bottom w:val="single" w:sz="4" w:space="0" w:color="181717"/>
                    <w:right w:val="nil"/>
                  </w:tcBorders>
                </w:tcPr>
                <w:p w14:paraId="5FE3E764"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4" w:space="0" w:color="181717"/>
                    <w:right w:val="single" w:sz="4" w:space="0" w:color="181717"/>
                  </w:tcBorders>
                </w:tcPr>
                <w:p w14:paraId="4530D04D" w14:textId="77777777" w:rsidR="00CB7A57" w:rsidRDefault="003B1641">
                  <w:pPr>
                    <w:framePr w:wrap="around" w:vAnchor="text" w:hAnchor="margin"/>
                    <w:spacing w:after="0" w:line="259" w:lineRule="auto"/>
                    <w:ind w:left="107" w:firstLine="0"/>
                    <w:suppressOverlap/>
                    <w:jc w:val="left"/>
                  </w:pPr>
                  <w:r>
                    <w:rPr>
                      <w:rFonts w:ascii="Calibri" w:eastAsia="Calibri" w:hAnsi="Calibri" w:cs="Calibri"/>
                      <w:sz w:val="20"/>
                    </w:rPr>
                    <w:t>0.332</w:t>
                  </w:r>
                </w:p>
              </w:tc>
            </w:tr>
            <w:tr w:rsidR="00CB7A57" w14:paraId="4B8BC4D9" w14:textId="77777777">
              <w:trPr>
                <w:trHeight w:val="290"/>
              </w:trPr>
              <w:tc>
                <w:tcPr>
                  <w:tcW w:w="4169" w:type="dxa"/>
                  <w:gridSpan w:val="2"/>
                  <w:tcBorders>
                    <w:top w:val="single" w:sz="4" w:space="0" w:color="181717"/>
                    <w:left w:val="single" w:sz="4" w:space="0" w:color="181717"/>
                    <w:bottom w:val="single" w:sz="4" w:space="0" w:color="181717"/>
                    <w:right w:val="single" w:sz="4" w:space="0" w:color="181717"/>
                  </w:tcBorders>
                </w:tcPr>
                <w:p w14:paraId="215D848D" w14:textId="77777777" w:rsidR="00CB7A57" w:rsidRDefault="003B1641">
                  <w:pPr>
                    <w:framePr w:wrap="around" w:vAnchor="text" w:hAnchor="margin"/>
                    <w:spacing w:after="0" w:line="259" w:lineRule="auto"/>
                    <w:ind w:left="1025" w:firstLine="0"/>
                    <w:suppressOverlap/>
                    <w:jc w:val="left"/>
                  </w:pPr>
                  <w:r>
                    <w:rPr>
                      <w:rFonts w:ascii="Calibri" w:eastAsia="Calibri" w:hAnsi="Calibri" w:cs="Calibri"/>
                      <w:b/>
                      <w:sz w:val="20"/>
                    </w:rPr>
                    <w:t>Kimberly-Clark</w:t>
                  </w:r>
                </w:p>
              </w:tc>
              <w:tc>
                <w:tcPr>
                  <w:tcW w:w="3329" w:type="dxa"/>
                  <w:gridSpan w:val="3"/>
                  <w:tcBorders>
                    <w:top w:val="single" w:sz="4" w:space="0" w:color="181717"/>
                    <w:left w:val="single" w:sz="4" w:space="0" w:color="181717"/>
                    <w:bottom w:val="single" w:sz="4" w:space="0" w:color="181717"/>
                    <w:right w:val="single" w:sz="4" w:space="0" w:color="181717"/>
                  </w:tcBorders>
                </w:tcPr>
                <w:p w14:paraId="1BB2E27A"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0.532</w:t>
                  </w:r>
                </w:p>
              </w:tc>
              <w:tc>
                <w:tcPr>
                  <w:tcW w:w="972" w:type="dxa"/>
                  <w:tcBorders>
                    <w:top w:val="single" w:sz="4" w:space="0" w:color="181717"/>
                    <w:left w:val="single" w:sz="4" w:space="0" w:color="181717"/>
                    <w:bottom w:val="single" w:sz="4" w:space="0" w:color="181717"/>
                    <w:right w:val="nil"/>
                  </w:tcBorders>
                </w:tcPr>
                <w:p w14:paraId="38A72036"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4" w:space="0" w:color="181717"/>
                    <w:right w:val="single" w:sz="4" w:space="0" w:color="181717"/>
                  </w:tcBorders>
                </w:tcPr>
                <w:p w14:paraId="7E8B92CD" w14:textId="77777777" w:rsidR="00CB7A57" w:rsidRDefault="003B1641">
                  <w:pPr>
                    <w:framePr w:wrap="around" w:vAnchor="text" w:hAnchor="margin"/>
                    <w:spacing w:after="0" w:line="259" w:lineRule="auto"/>
                    <w:ind w:left="107" w:firstLine="0"/>
                    <w:suppressOverlap/>
                    <w:jc w:val="left"/>
                  </w:pPr>
                  <w:r>
                    <w:rPr>
                      <w:rFonts w:ascii="Calibri" w:eastAsia="Calibri" w:hAnsi="Calibri" w:cs="Calibri"/>
                      <w:sz w:val="20"/>
                    </w:rPr>
                    <w:t>0.298</w:t>
                  </w:r>
                </w:p>
              </w:tc>
            </w:tr>
            <w:tr w:rsidR="00CB7A57" w14:paraId="62E4AF65" w14:textId="77777777">
              <w:trPr>
                <w:trHeight w:val="290"/>
              </w:trPr>
              <w:tc>
                <w:tcPr>
                  <w:tcW w:w="4169" w:type="dxa"/>
                  <w:gridSpan w:val="2"/>
                  <w:tcBorders>
                    <w:top w:val="single" w:sz="4" w:space="0" w:color="181717"/>
                    <w:left w:val="single" w:sz="4" w:space="0" w:color="181717"/>
                    <w:bottom w:val="single" w:sz="4" w:space="0" w:color="181717"/>
                    <w:right w:val="single" w:sz="4" w:space="0" w:color="181717"/>
                  </w:tcBorders>
                </w:tcPr>
                <w:p w14:paraId="4C0B94C5" w14:textId="77777777" w:rsidR="00CB7A57" w:rsidRDefault="003B1641">
                  <w:pPr>
                    <w:framePr w:wrap="around" w:vAnchor="text" w:hAnchor="margin"/>
                    <w:spacing w:after="0" w:line="259" w:lineRule="auto"/>
                    <w:ind w:left="1025" w:firstLine="0"/>
                    <w:suppressOverlap/>
                    <w:jc w:val="left"/>
                  </w:pPr>
                  <w:r>
                    <w:rPr>
                      <w:rFonts w:ascii="Calibri" w:eastAsia="Calibri" w:hAnsi="Calibri" w:cs="Calibri"/>
                      <w:b/>
                      <w:sz w:val="20"/>
                    </w:rPr>
                    <w:t>Kroger</w:t>
                  </w:r>
                </w:p>
              </w:tc>
              <w:tc>
                <w:tcPr>
                  <w:tcW w:w="3329" w:type="dxa"/>
                  <w:gridSpan w:val="3"/>
                  <w:tcBorders>
                    <w:top w:val="single" w:sz="4" w:space="0" w:color="181717"/>
                    <w:left w:val="single" w:sz="4" w:space="0" w:color="181717"/>
                    <w:bottom w:val="single" w:sz="4" w:space="0" w:color="181717"/>
                    <w:right w:val="single" w:sz="4" w:space="0" w:color="181717"/>
                  </w:tcBorders>
                </w:tcPr>
                <w:p w14:paraId="73571E88"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0.457</w:t>
                  </w:r>
                </w:p>
              </w:tc>
              <w:tc>
                <w:tcPr>
                  <w:tcW w:w="972" w:type="dxa"/>
                  <w:tcBorders>
                    <w:top w:val="single" w:sz="4" w:space="0" w:color="181717"/>
                    <w:left w:val="single" w:sz="4" w:space="0" w:color="181717"/>
                    <w:bottom w:val="single" w:sz="4" w:space="0" w:color="181717"/>
                    <w:right w:val="nil"/>
                  </w:tcBorders>
                </w:tcPr>
                <w:p w14:paraId="703B46DB"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4" w:space="0" w:color="181717"/>
                    <w:right w:val="single" w:sz="4" w:space="0" w:color="181717"/>
                  </w:tcBorders>
                </w:tcPr>
                <w:p w14:paraId="2D1A3EB7" w14:textId="77777777" w:rsidR="00CB7A57" w:rsidRDefault="003B1641">
                  <w:pPr>
                    <w:framePr w:wrap="around" w:vAnchor="text" w:hAnchor="margin"/>
                    <w:spacing w:after="0" w:line="259" w:lineRule="auto"/>
                    <w:ind w:left="107" w:firstLine="0"/>
                    <w:suppressOverlap/>
                    <w:jc w:val="left"/>
                  </w:pPr>
                  <w:r>
                    <w:rPr>
                      <w:rFonts w:ascii="Calibri" w:eastAsia="Calibri" w:hAnsi="Calibri" w:cs="Calibri"/>
                      <w:sz w:val="20"/>
                    </w:rPr>
                    <w:t>0.324</w:t>
                  </w:r>
                </w:p>
              </w:tc>
            </w:tr>
            <w:tr w:rsidR="00CB7A57" w14:paraId="670ADCEC" w14:textId="77777777">
              <w:trPr>
                <w:trHeight w:val="290"/>
              </w:trPr>
              <w:tc>
                <w:tcPr>
                  <w:tcW w:w="4169" w:type="dxa"/>
                  <w:gridSpan w:val="2"/>
                  <w:tcBorders>
                    <w:top w:val="single" w:sz="4" w:space="0" w:color="181717"/>
                    <w:left w:val="single" w:sz="4" w:space="0" w:color="181717"/>
                    <w:bottom w:val="single" w:sz="4" w:space="0" w:color="181717"/>
                    <w:right w:val="single" w:sz="4" w:space="0" w:color="181717"/>
                  </w:tcBorders>
                </w:tcPr>
                <w:p w14:paraId="7A29A961" w14:textId="77777777" w:rsidR="00CB7A57" w:rsidRDefault="003B1641">
                  <w:pPr>
                    <w:framePr w:wrap="around" w:vAnchor="text" w:hAnchor="margin"/>
                    <w:spacing w:after="0" w:line="259" w:lineRule="auto"/>
                    <w:ind w:left="1025" w:firstLine="0"/>
                    <w:suppressOverlap/>
                    <w:jc w:val="left"/>
                  </w:pPr>
                  <w:r>
                    <w:rPr>
                      <w:rFonts w:ascii="Calibri" w:eastAsia="Calibri" w:hAnsi="Calibri" w:cs="Calibri"/>
                      <w:b/>
                      <w:sz w:val="20"/>
                    </w:rPr>
                    <w:t>Nucor</w:t>
                  </w:r>
                </w:p>
              </w:tc>
              <w:tc>
                <w:tcPr>
                  <w:tcW w:w="3329" w:type="dxa"/>
                  <w:gridSpan w:val="3"/>
                  <w:tcBorders>
                    <w:top w:val="single" w:sz="4" w:space="0" w:color="181717"/>
                    <w:left w:val="single" w:sz="4" w:space="0" w:color="181717"/>
                    <w:bottom w:val="single" w:sz="4" w:space="0" w:color="181717"/>
                    <w:right w:val="single" w:sz="4" w:space="0" w:color="181717"/>
                  </w:tcBorders>
                </w:tcPr>
                <w:p w14:paraId="2B53D976"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0.567</w:t>
                  </w:r>
                </w:p>
              </w:tc>
              <w:tc>
                <w:tcPr>
                  <w:tcW w:w="972" w:type="dxa"/>
                  <w:tcBorders>
                    <w:top w:val="single" w:sz="4" w:space="0" w:color="181717"/>
                    <w:left w:val="single" w:sz="4" w:space="0" w:color="181717"/>
                    <w:bottom w:val="single" w:sz="4" w:space="0" w:color="181717"/>
                    <w:right w:val="nil"/>
                  </w:tcBorders>
                </w:tcPr>
                <w:p w14:paraId="4ACA5B02"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4" w:space="0" w:color="181717"/>
                    <w:right w:val="single" w:sz="4" w:space="0" w:color="181717"/>
                  </w:tcBorders>
                </w:tcPr>
                <w:p w14:paraId="50123F15" w14:textId="77777777" w:rsidR="00CB7A57" w:rsidRDefault="003B1641">
                  <w:pPr>
                    <w:framePr w:wrap="around" w:vAnchor="text" w:hAnchor="margin"/>
                    <w:spacing w:after="0" w:line="259" w:lineRule="auto"/>
                    <w:ind w:left="107" w:firstLine="0"/>
                    <w:suppressOverlap/>
                    <w:jc w:val="left"/>
                  </w:pPr>
                  <w:r>
                    <w:rPr>
                      <w:rFonts w:ascii="Calibri" w:eastAsia="Calibri" w:hAnsi="Calibri" w:cs="Calibri"/>
                      <w:sz w:val="20"/>
                    </w:rPr>
                    <w:t>0.286</w:t>
                  </w:r>
                </w:p>
              </w:tc>
            </w:tr>
            <w:tr w:rsidR="00CB7A57" w14:paraId="38C06706" w14:textId="77777777">
              <w:trPr>
                <w:trHeight w:val="290"/>
              </w:trPr>
              <w:tc>
                <w:tcPr>
                  <w:tcW w:w="4169" w:type="dxa"/>
                  <w:gridSpan w:val="2"/>
                  <w:tcBorders>
                    <w:top w:val="single" w:sz="4" w:space="0" w:color="181717"/>
                    <w:left w:val="single" w:sz="4" w:space="0" w:color="181717"/>
                    <w:bottom w:val="single" w:sz="4" w:space="0" w:color="181717"/>
                    <w:right w:val="single" w:sz="4" w:space="0" w:color="181717"/>
                  </w:tcBorders>
                </w:tcPr>
                <w:p w14:paraId="26CA30D6" w14:textId="77777777" w:rsidR="00CB7A57" w:rsidRDefault="003B1641">
                  <w:pPr>
                    <w:framePr w:wrap="around" w:vAnchor="text" w:hAnchor="margin"/>
                    <w:spacing w:after="0" w:line="259" w:lineRule="auto"/>
                    <w:ind w:left="1025" w:firstLine="0"/>
                    <w:suppressOverlap/>
                    <w:jc w:val="left"/>
                  </w:pPr>
                  <w:r>
                    <w:rPr>
                      <w:rFonts w:ascii="Calibri" w:eastAsia="Calibri" w:hAnsi="Calibri" w:cs="Calibri"/>
                      <w:b/>
                      <w:sz w:val="20"/>
                    </w:rPr>
                    <w:t>Pitney Bowes</w:t>
                  </w:r>
                </w:p>
              </w:tc>
              <w:tc>
                <w:tcPr>
                  <w:tcW w:w="3329" w:type="dxa"/>
                  <w:gridSpan w:val="3"/>
                  <w:tcBorders>
                    <w:top w:val="single" w:sz="4" w:space="0" w:color="181717"/>
                    <w:left w:val="single" w:sz="4" w:space="0" w:color="181717"/>
                    <w:bottom w:val="single" w:sz="4" w:space="0" w:color="181717"/>
                    <w:right w:val="single" w:sz="4" w:space="0" w:color="181717"/>
                  </w:tcBorders>
                </w:tcPr>
                <w:p w14:paraId="35C0592F"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0.651</w:t>
                  </w:r>
                </w:p>
              </w:tc>
              <w:tc>
                <w:tcPr>
                  <w:tcW w:w="972" w:type="dxa"/>
                  <w:tcBorders>
                    <w:top w:val="single" w:sz="4" w:space="0" w:color="181717"/>
                    <w:left w:val="single" w:sz="4" w:space="0" w:color="181717"/>
                    <w:bottom w:val="single" w:sz="4" w:space="0" w:color="181717"/>
                    <w:right w:val="nil"/>
                  </w:tcBorders>
                </w:tcPr>
                <w:p w14:paraId="2F2A38F1"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4" w:space="0" w:color="181717"/>
                    <w:right w:val="single" w:sz="4" w:space="0" w:color="181717"/>
                  </w:tcBorders>
                </w:tcPr>
                <w:p w14:paraId="01D7395D" w14:textId="77777777" w:rsidR="00CB7A57" w:rsidRDefault="003B1641">
                  <w:pPr>
                    <w:framePr w:wrap="around" w:vAnchor="text" w:hAnchor="margin"/>
                    <w:spacing w:after="0" w:line="259" w:lineRule="auto"/>
                    <w:ind w:left="107" w:firstLine="0"/>
                    <w:suppressOverlap/>
                    <w:jc w:val="left"/>
                  </w:pPr>
                  <w:r>
                    <w:rPr>
                      <w:rFonts w:ascii="Calibri" w:eastAsia="Calibri" w:hAnsi="Calibri" w:cs="Calibri"/>
                      <w:sz w:val="20"/>
                    </w:rPr>
                    <w:t>0.270</w:t>
                  </w:r>
                </w:p>
              </w:tc>
            </w:tr>
            <w:tr w:rsidR="00CB7A57" w14:paraId="53FE89D9" w14:textId="77777777">
              <w:trPr>
                <w:trHeight w:val="290"/>
              </w:trPr>
              <w:tc>
                <w:tcPr>
                  <w:tcW w:w="4169" w:type="dxa"/>
                  <w:gridSpan w:val="2"/>
                  <w:tcBorders>
                    <w:top w:val="single" w:sz="4" w:space="0" w:color="181717"/>
                    <w:left w:val="single" w:sz="4" w:space="0" w:color="181717"/>
                    <w:bottom w:val="single" w:sz="4" w:space="0" w:color="181717"/>
                    <w:right w:val="single" w:sz="4" w:space="0" w:color="181717"/>
                  </w:tcBorders>
                </w:tcPr>
                <w:p w14:paraId="483D1A89" w14:textId="77777777" w:rsidR="00CB7A57" w:rsidRDefault="003B1641">
                  <w:pPr>
                    <w:framePr w:wrap="around" w:vAnchor="text" w:hAnchor="margin"/>
                    <w:spacing w:after="0" w:line="259" w:lineRule="auto"/>
                    <w:ind w:left="1025" w:firstLine="0"/>
                    <w:suppressOverlap/>
                    <w:jc w:val="left"/>
                  </w:pPr>
                  <w:r>
                    <w:rPr>
                      <w:rFonts w:ascii="Calibri" w:eastAsia="Calibri" w:hAnsi="Calibri" w:cs="Calibri"/>
                      <w:b/>
                      <w:sz w:val="20"/>
                    </w:rPr>
                    <w:t>Walgreens</w:t>
                  </w:r>
                </w:p>
              </w:tc>
              <w:tc>
                <w:tcPr>
                  <w:tcW w:w="3329" w:type="dxa"/>
                  <w:gridSpan w:val="3"/>
                  <w:tcBorders>
                    <w:top w:val="single" w:sz="4" w:space="0" w:color="181717"/>
                    <w:left w:val="single" w:sz="4" w:space="0" w:color="181717"/>
                    <w:bottom w:val="single" w:sz="4" w:space="0" w:color="181717"/>
                    <w:right w:val="single" w:sz="4" w:space="0" w:color="181717"/>
                  </w:tcBorders>
                </w:tcPr>
                <w:p w14:paraId="6B2FE3F1"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1.703</w:t>
                  </w:r>
                </w:p>
              </w:tc>
              <w:tc>
                <w:tcPr>
                  <w:tcW w:w="972" w:type="dxa"/>
                  <w:tcBorders>
                    <w:top w:val="single" w:sz="4" w:space="0" w:color="181717"/>
                    <w:left w:val="single" w:sz="4" w:space="0" w:color="181717"/>
                    <w:bottom w:val="single" w:sz="4" w:space="0" w:color="181717"/>
                    <w:right w:val="nil"/>
                  </w:tcBorders>
                </w:tcPr>
                <w:p w14:paraId="27487D27"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4" w:space="0" w:color="181717"/>
                    <w:right w:val="single" w:sz="4" w:space="0" w:color="181717"/>
                  </w:tcBorders>
                </w:tcPr>
                <w:p w14:paraId="22F60A86" w14:textId="77777777" w:rsidR="00CB7A57" w:rsidRDefault="003B1641">
                  <w:pPr>
                    <w:framePr w:wrap="around" w:vAnchor="text" w:hAnchor="margin"/>
                    <w:spacing w:after="0" w:line="259" w:lineRule="auto"/>
                    <w:ind w:left="91" w:firstLine="0"/>
                    <w:suppressOverlap/>
                    <w:jc w:val="left"/>
                  </w:pPr>
                  <w:r>
                    <w:rPr>
                      <w:rFonts w:ascii="Calibri" w:eastAsia="Calibri" w:hAnsi="Calibri" w:cs="Calibri"/>
                      <w:b/>
                      <w:sz w:val="20"/>
                    </w:rPr>
                    <w:t>0.045</w:t>
                  </w:r>
                </w:p>
              </w:tc>
            </w:tr>
            <w:tr w:rsidR="00CB7A57" w14:paraId="66022975" w14:textId="77777777">
              <w:trPr>
                <w:trHeight w:val="295"/>
              </w:trPr>
              <w:tc>
                <w:tcPr>
                  <w:tcW w:w="4169" w:type="dxa"/>
                  <w:gridSpan w:val="2"/>
                  <w:tcBorders>
                    <w:top w:val="single" w:sz="4" w:space="0" w:color="181717"/>
                    <w:left w:val="single" w:sz="4" w:space="0" w:color="181717"/>
                    <w:bottom w:val="single" w:sz="8" w:space="0" w:color="181717"/>
                    <w:right w:val="single" w:sz="4" w:space="0" w:color="181717"/>
                  </w:tcBorders>
                </w:tcPr>
                <w:p w14:paraId="66FB3B7F" w14:textId="77777777" w:rsidR="00CB7A57" w:rsidRDefault="003B1641">
                  <w:pPr>
                    <w:framePr w:wrap="around" w:vAnchor="text" w:hAnchor="margin"/>
                    <w:spacing w:after="0" w:line="259" w:lineRule="auto"/>
                    <w:ind w:left="1025" w:firstLine="0"/>
                    <w:suppressOverlap/>
                    <w:jc w:val="left"/>
                  </w:pPr>
                  <w:r>
                    <w:rPr>
                      <w:rFonts w:ascii="Calibri" w:eastAsia="Calibri" w:hAnsi="Calibri" w:cs="Calibri"/>
                      <w:b/>
                      <w:sz w:val="20"/>
                    </w:rPr>
                    <w:t>Wells Fargo &amp; Co.</w:t>
                  </w:r>
                </w:p>
              </w:tc>
              <w:tc>
                <w:tcPr>
                  <w:tcW w:w="3329" w:type="dxa"/>
                  <w:gridSpan w:val="3"/>
                  <w:tcBorders>
                    <w:top w:val="single" w:sz="4" w:space="0" w:color="181717"/>
                    <w:left w:val="single" w:sz="4" w:space="0" w:color="181717"/>
                    <w:bottom w:val="single" w:sz="8" w:space="0" w:color="181717"/>
                    <w:right w:val="single" w:sz="4" w:space="0" w:color="181717"/>
                  </w:tcBorders>
                </w:tcPr>
                <w:p w14:paraId="4F266608"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1.554</w:t>
                  </w:r>
                </w:p>
              </w:tc>
              <w:tc>
                <w:tcPr>
                  <w:tcW w:w="972" w:type="dxa"/>
                  <w:tcBorders>
                    <w:top w:val="single" w:sz="4" w:space="0" w:color="181717"/>
                    <w:left w:val="single" w:sz="4" w:space="0" w:color="181717"/>
                    <w:bottom w:val="single" w:sz="8" w:space="0" w:color="181717"/>
                    <w:right w:val="nil"/>
                  </w:tcBorders>
                </w:tcPr>
                <w:p w14:paraId="0F251428" w14:textId="77777777" w:rsidR="00CB7A57" w:rsidRDefault="00CB7A57">
                  <w:pPr>
                    <w:framePr w:wrap="around" w:vAnchor="text" w:hAnchor="margin"/>
                    <w:spacing w:after="160" w:line="259" w:lineRule="auto"/>
                    <w:ind w:left="0" w:firstLine="0"/>
                    <w:suppressOverlap/>
                    <w:jc w:val="left"/>
                  </w:pPr>
                </w:p>
              </w:tc>
              <w:tc>
                <w:tcPr>
                  <w:tcW w:w="1602" w:type="dxa"/>
                  <w:tcBorders>
                    <w:top w:val="single" w:sz="4" w:space="0" w:color="181717"/>
                    <w:left w:val="nil"/>
                    <w:bottom w:val="single" w:sz="8" w:space="0" w:color="181717"/>
                    <w:right w:val="single" w:sz="4" w:space="0" w:color="181717"/>
                  </w:tcBorders>
                </w:tcPr>
                <w:p w14:paraId="1C82EE71" w14:textId="77777777" w:rsidR="00CB7A57" w:rsidRDefault="003B1641">
                  <w:pPr>
                    <w:framePr w:wrap="around" w:vAnchor="text" w:hAnchor="margin"/>
                    <w:spacing w:after="0" w:line="259" w:lineRule="auto"/>
                    <w:ind w:left="107" w:firstLine="0"/>
                    <w:suppressOverlap/>
                    <w:jc w:val="left"/>
                  </w:pPr>
                  <w:r>
                    <w:rPr>
                      <w:rFonts w:ascii="Calibri" w:eastAsia="Calibri" w:hAnsi="Calibri" w:cs="Calibri"/>
                      <w:sz w:val="20"/>
                    </w:rPr>
                    <w:t>0.061</w:t>
                  </w:r>
                </w:p>
              </w:tc>
            </w:tr>
            <w:tr w:rsidR="00CB7A57" w14:paraId="1649A72E" w14:textId="77777777">
              <w:trPr>
                <w:trHeight w:val="305"/>
              </w:trPr>
              <w:tc>
                <w:tcPr>
                  <w:tcW w:w="7498" w:type="dxa"/>
                  <w:gridSpan w:val="5"/>
                  <w:tcBorders>
                    <w:top w:val="single" w:sz="8" w:space="0" w:color="181717"/>
                    <w:left w:val="single" w:sz="4" w:space="0" w:color="181717"/>
                    <w:bottom w:val="single" w:sz="4" w:space="0" w:color="181717"/>
                    <w:right w:val="nil"/>
                  </w:tcBorders>
                  <w:shd w:val="clear" w:color="auto" w:fill="BFBFBF"/>
                </w:tcPr>
                <w:p w14:paraId="7BFD677C" w14:textId="77777777" w:rsidR="00CB7A57" w:rsidRDefault="003B1641">
                  <w:pPr>
                    <w:framePr w:wrap="around" w:vAnchor="text" w:hAnchor="margin"/>
                    <w:spacing w:after="0" w:line="259" w:lineRule="auto"/>
                    <w:ind w:left="0" w:right="476" w:firstLine="0"/>
                    <w:suppressOverlap/>
                    <w:jc w:val="right"/>
                  </w:pPr>
                  <w:r>
                    <w:rPr>
                      <w:rFonts w:ascii="Calibri" w:eastAsia="Calibri" w:hAnsi="Calibri" w:cs="Calibri"/>
                      <w:b/>
                      <w:sz w:val="22"/>
                    </w:rPr>
                    <w:t xml:space="preserve">Panel 2: Transition Year </w:t>
                  </w:r>
                  <w:r>
                    <w:rPr>
                      <w:rFonts w:ascii="Calibri" w:eastAsia="Calibri" w:hAnsi="Calibri" w:cs="Calibri"/>
                      <w:sz w:val="22"/>
                    </w:rPr>
                    <w:t xml:space="preserve"> </w:t>
                  </w:r>
                  <w:r>
                    <w:rPr>
                      <w:rFonts w:ascii="Calibri" w:eastAsia="Calibri" w:hAnsi="Calibri" w:cs="Calibri"/>
                      <w:b/>
                      <w:sz w:val="22"/>
                    </w:rPr>
                    <w:t>15 years through 2005</w:t>
                  </w:r>
                </w:p>
              </w:tc>
              <w:tc>
                <w:tcPr>
                  <w:tcW w:w="972" w:type="dxa"/>
                  <w:tcBorders>
                    <w:top w:val="single" w:sz="8" w:space="0" w:color="181717"/>
                    <w:left w:val="nil"/>
                    <w:bottom w:val="single" w:sz="4" w:space="0" w:color="181717"/>
                    <w:right w:val="nil"/>
                  </w:tcBorders>
                  <w:shd w:val="clear" w:color="auto" w:fill="BFBFBF"/>
                </w:tcPr>
                <w:p w14:paraId="4377F529" w14:textId="77777777" w:rsidR="00CB7A57" w:rsidRDefault="00CB7A57">
                  <w:pPr>
                    <w:framePr w:wrap="around" w:vAnchor="text" w:hAnchor="margin"/>
                    <w:spacing w:after="160" w:line="259" w:lineRule="auto"/>
                    <w:ind w:left="0" w:firstLine="0"/>
                    <w:suppressOverlap/>
                    <w:jc w:val="left"/>
                  </w:pPr>
                </w:p>
              </w:tc>
              <w:tc>
                <w:tcPr>
                  <w:tcW w:w="1602" w:type="dxa"/>
                  <w:tcBorders>
                    <w:top w:val="single" w:sz="8" w:space="0" w:color="181717"/>
                    <w:left w:val="nil"/>
                    <w:bottom w:val="single" w:sz="4" w:space="0" w:color="181717"/>
                    <w:right w:val="single" w:sz="4" w:space="0" w:color="181717"/>
                  </w:tcBorders>
                  <w:shd w:val="clear" w:color="auto" w:fill="BFBFBF"/>
                </w:tcPr>
                <w:p w14:paraId="6C04FC22" w14:textId="77777777" w:rsidR="00CB7A57" w:rsidRDefault="00CB7A57">
                  <w:pPr>
                    <w:framePr w:wrap="around" w:vAnchor="text" w:hAnchor="margin"/>
                    <w:spacing w:after="160" w:line="259" w:lineRule="auto"/>
                    <w:ind w:left="0" w:firstLine="0"/>
                    <w:suppressOverlap/>
                    <w:jc w:val="left"/>
                  </w:pPr>
                </w:p>
              </w:tc>
            </w:tr>
            <w:tr w:rsidR="00CB7A57" w14:paraId="6769963D" w14:textId="77777777">
              <w:trPr>
                <w:trHeight w:val="561"/>
              </w:trPr>
              <w:tc>
                <w:tcPr>
                  <w:tcW w:w="3409" w:type="dxa"/>
                  <w:tcBorders>
                    <w:top w:val="single" w:sz="4" w:space="0" w:color="181717"/>
                    <w:left w:val="single" w:sz="4" w:space="0" w:color="181717"/>
                    <w:bottom w:val="single" w:sz="4" w:space="0" w:color="181717"/>
                    <w:right w:val="single" w:sz="4" w:space="0" w:color="181717"/>
                  </w:tcBorders>
                  <w:shd w:val="clear" w:color="auto" w:fill="BFBFBF"/>
                  <w:vAlign w:val="bottom"/>
                </w:tcPr>
                <w:p w14:paraId="229F48E2" w14:textId="77777777" w:rsidR="00CB7A57" w:rsidRDefault="003B1641">
                  <w:pPr>
                    <w:framePr w:wrap="around" w:vAnchor="text" w:hAnchor="margin"/>
                    <w:spacing w:after="0" w:line="259" w:lineRule="auto"/>
                    <w:ind w:left="36" w:firstLine="0"/>
                    <w:suppressOverlap/>
                    <w:jc w:val="center"/>
                  </w:pPr>
                  <w:r>
                    <w:rPr>
                      <w:rFonts w:ascii="Calibri" w:eastAsia="Calibri" w:hAnsi="Calibri" w:cs="Calibri"/>
                      <w:sz w:val="22"/>
                    </w:rPr>
                    <w:t>Firm</w:t>
                  </w:r>
                </w:p>
              </w:tc>
              <w:tc>
                <w:tcPr>
                  <w:tcW w:w="1741" w:type="dxa"/>
                  <w:gridSpan w:val="2"/>
                  <w:tcBorders>
                    <w:top w:val="single" w:sz="4" w:space="0" w:color="181717"/>
                    <w:left w:val="single" w:sz="4" w:space="0" w:color="181717"/>
                    <w:bottom w:val="single" w:sz="4" w:space="0" w:color="181717"/>
                    <w:right w:val="single" w:sz="4" w:space="0" w:color="181717"/>
                  </w:tcBorders>
                  <w:shd w:val="clear" w:color="auto" w:fill="BFBFBF"/>
                </w:tcPr>
                <w:p w14:paraId="53BBD048" w14:textId="77777777" w:rsidR="00CB7A57" w:rsidRDefault="003B1641">
                  <w:pPr>
                    <w:framePr w:wrap="around" w:vAnchor="text" w:hAnchor="margin"/>
                    <w:spacing w:after="0" w:line="259" w:lineRule="auto"/>
                    <w:ind w:left="389" w:right="359" w:firstLine="0"/>
                    <w:suppressOverlap/>
                    <w:jc w:val="center"/>
                  </w:pPr>
                  <w:r>
                    <w:rPr>
                      <w:rFonts w:ascii="Calibri" w:eastAsia="Calibri" w:hAnsi="Calibri" w:cs="Calibri"/>
                      <w:sz w:val="22"/>
                    </w:rPr>
                    <w:t>Transition Year</w:t>
                  </w:r>
                </w:p>
              </w:tc>
              <w:tc>
                <w:tcPr>
                  <w:tcW w:w="1508" w:type="dxa"/>
                  <w:tcBorders>
                    <w:top w:val="single" w:sz="4" w:space="0" w:color="181717"/>
                    <w:left w:val="single" w:sz="4" w:space="0" w:color="181717"/>
                    <w:bottom w:val="single" w:sz="4" w:space="0" w:color="181717"/>
                    <w:right w:val="single" w:sz="4" w:space="0" w:color="181717"/>
                  </w:tcBorders>
                  <w:shd w:val="clear" w:color="auto" w:fill="BFBFBF"/>
                </w:tcPr>
                <w:p w14:paraId="67322D40" w14:textId="77777777" w:rsidR="00CB7A57" w:rsidRDefault="003B1641">
                  <w:pPr>
                    <w:framePr w:wrap="around" w:vAnchor="text" w:hAnchor="margin"/>
                    <w:spacing w:after="0" w:line="259" w:lineRule="auto"/>
                    <w:ind w:left="358" w:right="329" w:firstLine="0"/>
                    <w:suppressOverlap/>
                    <w:jc w:val="center"/>
                  </w:pPr>
                  <w:r>
                    <w:rPr>
                      <w:rFonts w:ascii="Calibri" w:eastAsia="Calibri" w:hAnsi="Calibri" w:cs="Calibri"/>
                      <w:sz w:val="22"/>
                    </w:rPr>
                    <w:t>Years Tested</w:t>
                  </w:r>
                </w:p>
              </w:tc>
              <w:tc>
                <w:tcPr>
                  <w:tcW w:w="840" w:type="dxa"/>
                  <w:tcBorders>
                    <w:top w:val="single" w:sz="4" w:space="0" w:color="181717"/>
                    <w:left w:val="single" w:sz="4" w:space="0" w:color="181717"/>
                    <w:bottom w:val="single" w:sz="4" w:space="0" w:color="181717"/>
                    <w:right w:val="nil"/>
                  </w:tcBorders>
                  <w:shd w:val="clear" w:color="auto" w:fill="BFBFBF"/>
                </w:tcPr>
                <w:p w14:paraId="0AFEDAF4" w14:textId="77777777" w:rsidR="00CB7A57" w:rsidRDefault="003B1641">
                  <w:pPr>
                    <w:framePr w:wrap="around" w:vAnchor="text" w:hAnchor="margin"/>
                    <w:spacing w:after="0" w:line="259" w:lineRule="auto"/>
                    <w:ind w:left="652" w:hanging="109"/>
                    <w:suppressOverlap/>
                    <w:jc w:val="left"/>
                  </w:pPr>
                  <w:r>
                    <w:rPr>
                      <w:rFonts w:ascii="Calibri" w:eastAsia="Calibri" w:hAnsi="Calibri" w:cs="Calibri"/>
                      <w:sz w:val="22"/>
                    </w:rPr>
                    <w:t>Pair St</w:t>
                  </w:r>
                </w:p>
              </w:tc>
              <w:tc>
                <w:tcPr>
                  <w:tcW w:w="972" w:type="dxa"/>
                  <w:tcBorders>
                    <w:top w:val="single" w:sz="4" w:space="0" w:color="181717"/>
                    <w:left w:val="nil"/>
                    <w:bottom w:val="single" w:sz="4" w:space="0" w:color="181717"/>
                    <w:right w:val="single" w:sz="4" w:space="0" w:color="181717"/>
                  </w:tcBorders>
                  <w:shd w:val="clear" w:color="auto" w:fill="BFBFBF"/>
                </w:tcPr>
                <w:p w14:paraId="6E2268ED" w14:textId="77777777" w:rsidR="00CB7A57" w:rsidRDefault="003B1641">
                  <w:pPr>
                    <w:framePr w:wrap="around" w:vAnchor="text" w:hAnchor="margin"/>
                    <w:spacing w:after="0" w:line="259" w:lineRule="auto"/>
                    <w:ind w:left="-30" w:firstLine="0"/>
                    <w:suppressOverlap/>
                    <w:jc w:val="left"/>
                  </w:pPr>
                  <w:r>
                    <w:rPr>
                      <w:rFonts w:ascii="Calibri" w:eastAsia="Calibri" w:hAnsi="Calibri" w:cs="Calibri"/>
                      <w:sz w:val="22"/>
                    </w:rPr>
                    <w:t>ed Test</w:t>
                  </w:r>
                </w:p>
                <w:p w14:paraId="39204555" w14:textId="77777777" w:rsidR="00CB7A57" w:rsidRDefault="003B1641">
                  <w:pPr>
                    <w:framePr w:wrap="around" w:vAnchor="text" w:hAnchor="margin"/>
                    <w:spacing w:after="0" w:line="259" w:lineRule="auto"/>
                    <w:ind w:left="-61" w:firstLine="0"/>
                    <w:suppressOverlap/>
                    <w:jc w:val="left"/>
                  </w:pPr>
                  <w:r>
                    <w:rPr>
                      <w:rFonts w:ascii="Calibri" w:eastAsia="Calibri" w:hAnsi="Calibri" w:cs="Calibri"/>
                      <w:sz w:val="22"/>
                    </w:rPr>
                    <w:t>atistic</w:t>
                  </w:r>
                </w:p>
              </w:tc>
              <w:tc>
                <w:tcPr>
                  <w:tcW w:w="1602" w:type="dxa"/>
                  <w:tcBorders>
                    <w:top w:val="single" w:sz="4" w:space="0" w:color="181717"/>
                    <w:left w:val="single" w:sz="4" w:space="0" w:color="181717"/>
                    <w:bottom w:val="single" w:sz="4" w:space="0" w:color="181717"/>
                    <w:right w:val="single" w:sz="4" w:space="0" w:color="181717"/>
                  </w:tcBorders>
                  <w:shd w:val="clear" w:color="auto" w:fill="BFBFBF"/>
                  <w:vAlign w:val="bottom"/>
                </w:tcPr>
                <w:p w14:paraId="2610A3D3" w14:textId="77777777" w:rsidR="00CB7A57" w:rsidRDefault="003B1641">
                  <w:pPr>
                    <w:framePr w:wrap="around" w:vAnchor="text" w:hAnchor="margin"/>
                    <w:spacing w:after="0" w:line="259" w:lineRule="auto"/>
                    <w:ind w:left="24" w:firstLine="0"/>
                    <w:suppressOverlap/>
                    <w:jc w:val="center"/>
                  </w:pPr>
                  <w:r>
                    <w:rPr>
                      <w:rFonts w:ascii="Calibri" w:eastAsia="Calibri" w:hAnsi="Calibri" w:cs="Calibri"/>
                      <w:sz w:val="22"/>
                    </w:rPr>
                    <w:t>p-Value</w:t>
                  </w:r>
                </w:p>
              </w:tc>
            </w:tr>
            <w:tr w:rsidR="00CB7A57" w14:paraId="1020D1A9" w14:textId="77777777">
              <w:trPr>
                <w:trHeight w:val="289"/>
              </w:trPr>
              <w:tc>
                <w:tcPr>
                  <w:tcW w:w="3409" w:type="dxa"/>
                  <w:tcBorders>
                    <w:top w:val="single" w:sz="4" w:space="0" w:color="181717"/>
                    <w:left w:val="single" w:sz="4" w:space="0" w:color="181717"/>
                    <w:bottom w:val="single" w:sz="4" w:space="0" w:color="181717"/>
                    <w:right w:val="single" w:sz="4" w:space="0" w:color="181717"/>
                  </w:tcBorders>
                </w:tcPr>
                <w:p w14:paraId="58B59207" w14:textId="77777777" w:rsidR="00CB7A57" w:rsidRDefault="003B1641">
                  <w:pPr>
                    <w:framePr w:wrap="around" w:vAnchor="text" w:hAnchor="margin"/>
                    <w:spacing w:after="0" w:line="259" w:lineRule="auto"/>
                    <w:ind w:left="539" w:firstLine="0"/>
                    <w:suppressOverlap/>
                    <w:jc w:val="left"/>
                  </w:pPr>
                  <w:r>
                    <w:rPr>
                      <w:rFonts w:ascii="Calibri" w:eastAsia="Calibri" w:hAnsi="Calibri" w:cs="Calibri"/>
                      <w:b/>
                      <w:sz w:val="20"/>
                    </w:rPr>
                    <w:t>Abbott Laboratories</w:t>
                  </w:r>
                </w:p>
              </w:tc>
              <w:tc>
                <w:tcPr>
                  <w:tcW w:w="1741" w:type="dxa"/>
                  <w:gridSpan w:val="2"/>
                  <w:tcBorders>
                    <w:top w:val="single" w:sz="4" w:space="0" w:color="181717"/>
                    <w:left w:val="single" w:sz="4" w:space="0" w:color="181717"/>
                    <w:bottom w:val="single" w:sz="4" w:space="0" w:color="181717"/>
                    <w:right w:val="single" w:sz="4" w:space="0" w:color="181717"/>
                  </w:tcBorders>
                </w:tcPr>
                <w:p w14:paraId="48AFF7A6"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1974</w:t>
                  </w:r>
                </w:p>
              </w:tc>
              <w:tc>
                <w:tcPr>
                  <w:tcW w:w="1508" w:type="dxa"/>
                  <w:tcBorders>
                    <w:top w:val="single" w:sz="4" w:space="0" w:color="181717"/>
                    <w:left w:val="single" w:sz="4" w:space="0" w:color="181717"/>
                    <w:bottom w:val="single" w:sz="4" w:space="0" w:color="181717"/>
                    <w:right w:val="single" w:sz="4" w:space="0" w:color="181717"/>
                  </w:tcBorders>
                </w:tcPr>
                <w:p w14:paraId="21BC84BB"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16</w:t>
                  </w:r>
                </w:p>
              </w:tc>
              <w:tc>
                <w:tcPr>
                  <w:tcW w:w="840" w:type="dxa"/>
                  <w:tcBorders>
                    <w:top w:val="single" w:sz="4" w:space="0" w:color="181717"/>
                    <w:left w:val="single" w:sz="4" w:space="0" w:color="181717"/>
                    <w:bottom w:val="single" w:sz="4" w:space="0" w:color="181717"/>
                    <w:right w:val="nil"/>
                  </w:tcBorders>
                </w:tcPr>
                <w:p w14:paraId="583CC336"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1</w:t>
                  </w:r>
                </w:p>
              </w:tc>
              <w:tc>
                <w:tcPr>
                  <w:tcW w:w="972" w:type="dxa"/>
                  <w:tcBorders>
                    <w:top w:val="single" w:sz="4" w:space="0" w:color="181717"/>
                    <w:left w:val="nil"/>
                    <w:bottom w:val="single" w:sz="4" w:space="0" w:color="181717"/>
                    <w:right w:val="single" w:sz="4" w:space="0" w:color="181717"/>
                  </w:tcBorders>
                </w:tcPr>
                <w:p w14:paraId="2E19E12F"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.055</w:t>
                  </w:r>
                </w:p>
              </w:tc>
              <w:tc>
                <w:tcPr>
                  <w:tcW w:w="1602" w:type="dxa"/>
                  <w:tcBorders>
                    <w:top w:val="single" w:sz="4" w:space="0" w:color="181717"/>
                    <w:left w:val="single" w:sz="4" w:space="0" w:color="181717"/>
                    <w:bottom w:val="single" w:sz="4" w:space="0" w:color="181717"/>
                    <w:right w:val="single" w:sz="4" w:space="0" w:color="181717"/>
                  </w:tcBorders>
                </w:tcPr>
                <w:p w14:paraId="31E09780" w14:textId="77777777" w:rsidR="00CB7A57" w:rsidRDefault="003B1641">
                  <w:pPr>
                    <w:framePr w:wrap="around" w:vAnchor="text" w:hAnchor="margin"/>
                    <w:spacing w:after="0" w:line="259" w:lineRule="auto"/>
                    <w:ind w:left="0" w:right="16" w:firstLine="0"/>
                    <w:suppressOverlap/>
                    <w:jc w:val="center"/>
                  </w:pPr>
                  <w:r>
                    <w:rPr>
                      <w:rFonts w:ascii="Calibri" w:eastAsia="Calibri" w:hAnsi="Calibri" w:cs="Calibri"/>
                      <w:sz w:val="20"/>
                    </w:rPr>
                    <w:t>0.146</w:t>
                  </w:r>
                </w:p>
              </w:tc>
            </w:tr>
            <w:tr w:rsidR="00CB7A57" w14:paraId="3AD742B1" w14:textId="77777777">
              <w:trPr>
                <w:trHeight w:val="290"/>
              </w:trPr>
              <w:tc>
                <w:tcPr>
                  <w:tcW w:w="3409" w:type="dxa"/>
                  <w:tcBorders>
                    <w:top w:val="single" w:sz="4" w:space="0" w:color="181717"/>
                    <w:left w:val="single" w:sz="4" w:space="0" w:color="181717"/>
                    <w:bottom w:val="single" w:sz="4" w:space="0" w:color="181717"/>
                    <w:right w:val="single" w:sz="4" w:space="0" w:color="181717"/>
                  </w:tcBorders>
                </w:tcPr>
                <w:p w14:paraId="5617F0CC" w14:textId="77777777" w:rsidR="00CB7A57" w:rsidRDefault="003B1641">
                  <w:pPr>
                    <w:framePr w:wrap="around" w:vAnchor="text" w:hAnchor="margin"/>
                    <w:spacing w:after="0" w:line="259" w:lineRule="auto"/>
                    <w:ind w:left="539" w:firstLine="0"/>
                    <w:suppressOverlap/>
                    <w:jc w:val="left"/>
                  </w:pPr>
                  <w:r>
                    <w:rPr>
                      <w:rFonts w:ascii="Calibri" w:eastAsia="Calibri" w:hAnsi="Calibri" w:cs="Calibri"/>
                      <w:b/>
                      <w:sz w:val="20"/>
                    </w:rPr>
                    <w:t>Altria (formerly Philip Morris)</w:t>
                  </w:r>
                </w:p>
              </w:tc>
              <w:tc>
                <w:tcPr>
                  <w:tcW w:w="1741" w:type="dxa"/>
                  <w:gridSpan w:val="2"/>
                  <w:tcBorders>
                    <w:top w:val="single" w:sz="4" w:space="0" w:color="181717"/>
                    <w:left w:val="single" w:sz="4" w:space="0" w:color="181717"/>
                    <w:bottom w:val="single" w:sz="4" w:space="0" w:color="181717"/>
                    <w:right w:val="single" w:sz="4" w:space="0" w:color="181717"/>
                  </w:tcBorders>
                </w:tcPr>
                <w:p w14:paraId="6F7DA8FC"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1964</w:t>
                  </w:r>
                </w:p>
              </w:tc>
              <w:tc>
                <w:tcPr>
                  <w:tcW w:w="1508" w:type="dxa"/>
                  <w:tcBorders>
                    <w:top w:val="single" w:sz="4" w:space="0" w:color="181717"/>
                    <w:left w:val="single" w:sz="4" w:space="0" w:color="181717"/>
                    <w:bottom w:val="single" w:sz="4" w:space="0" w:color="181717"/>
                    <w:right w:val="single" w:sz="4" w:space="0" w:color="181717"/>
                  </w:tcBorders>
                </w:tcPr>
                <w:p w14:paraId="42C8B472"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26</w:t>
                  </w:r>
                </w:p>
              </w:tc>
              <w:tc>
                <w:tcPr>
                  <w:tcW w:w="840" w:type="dxa"/>
                  <w:tcBorders>
                    <w:top w:val="single" w:sz="4" w:space="0" w:color="181717"/>
                    <w:left w:val="single" w:sz="4" w:space="0" w:color="181717"/>
                    <w:bottom w:val="single" w:sz="4" w:space="0" w:color="181717"/>
                    <w:right w:val="nil"/>
                  </w:tcBorders>
                </w:tcPr>
                <w:p w14:paraId="28BF5EA5"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2</w:t>
                  </w:r>
                </w:p>
              </w:tc>
              <w:tc>
                <w:tcPr>
                  <w:tcW w:w="972" w:type="dxa"/>
                  <w:tcBorders>
                    <w:top w:val="single" w:sz="4" w:space="0" w:color="181717"/>
                    <w:left w:val="nil"/>
                    <w:bottom w:val="single" w:sz="4" w:space="0" w:color="181717"/>
                    <w:right w:val="single" w:sz="4" w:space="0" w:color="181717"/>
                  </w:tcBorders>
                </w:tcPr>
                <w:p w14:paraId="509EA2A0"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.605</w:t>
                  </w:r>
                </w:p>
              </w:tc>
              <w:tc>
                <w:tcPr>
                  <w:tcW w:w="1602" w:type="dxa"/>
                  <w:tcBorders>
                    <w:top w:val="single" w:sz="4" w:space="0" w:color="181717"/>
                    <w:left w:val="single" w:sz="4" w:space="0" w:color="181717"/>
                    <w:bottom w:val="single" w:sz="4" w:space="0" w:color="181717"/>
                    <w:right w:val="single" w:sz="4" w:space="0" w:color="181717"/>
                  </w:tcBorders>
                </w:tcPr>
                <w:p w14:paraId="70D1C74A" w14:textId="77777777" w:rsidR="00CB7A57" w:rsidRDefault="003B1641">
                  <w:pPr>
                    <w:framePr w:wrap="around" w:vAnchor="text" w:hAnchor="margin"/>
                    <w:spacing w:after="0" w:line="259" w:lineRule="auto"/>
                    <w:ind w:left="23" w:firstLine="0"/>
                    <w:suppressOverlap/>
                    <w:jc w:val="center"/>
                  </w:pPr>
                  <w:r>
                    <w:rPr>
                      <w:rFonts w:ascii="Calibri" w:eastAsia="Calibri" w:hAnsi="Calibri" w:cs="Calibri"/>
                      <w:b/>
                      <w:sz w:val="20"/>
                    </w:rPr>
                    <w:t>0.005</w:t>
                  </w:r>
                </w:p>
              </w:tc>
            </w:tr>
            <w:tr w:rsidR="00CB7A57" w14:paraId="6879AB2B" w14:textId="77777777">
              <w:trPr>
                <w:trHeight w:val="290"/>
              </w:trPr>
              <w:tc>
                <w:tcPr>
                  <w:tcW w:w="3409" w:type="dxa"/>
                  <w:tcBorders>
                    <w:top w:val="single" w:sz="4" w:space="0" w:color="181717"/>
                    <w:left w:val="single" w:sz="4" w:space="0" w:color="181717"/>
                    <w:bottom w:val="single" w:sz="4" w:space="0" w:color="181717"/>
                    <w:right w:val="single" w:sz="4" w:space="0" w:color="181717"/>
                  </w:tcBorders>
                </w:tcPr>
                <w:p w14:paraId="6F264DD9" w14:textId="77777777" w:rsidR="00CB7A57" w:rsidRDefault="003B1641">
                  <w:pPr>
                    <w:framePr w:wrap="around" w:vAnchor="text" w:hAnchor="margin"/>
                    <w:spacing w:after="0" w:line="259" w:lineRule="auto"/>
                    <w:ind w:left="539" w:firstLine="0"/>
                    <w:suppressOverlap/>
                    <w:jc w:val="left"/>
                  </w:pPr>
                  <w:r>
                    <w:rPr>
                      <w:rFonts w:ascii="Calibri" w:eastAsia="Calibri" w:hAnsi="Calibri" w:cs="Calibri"/>
                      <w:b/>
                      <w:sz w:val="20"/>
                    </w:rPr>
                    <w:t>Circuit City Stores</w:t>
                  </w:r>
                </w:p>
              </w:tc>
              <w:tc>
                <w:tcPr>
                  <w:tcW w:w="1741" w:type="dxa"/>
                  <w:gridSpan w:val="2"/>
                  <w:tcBorders>
                    <w:top w:val="single" w:sz="4" w:space="0" w:color="181717"/>
                    <w:left w:val="single" w:sz="4" w:space="0" w:color="181717"/>
                    <w:bottom w:val="single" w:sz="4" w:space="0" w:color="181717"/>
                    <w:right w:val="single" w:sz="4" w:space="0" w:color="181717"/>
                  </w:tcBorders>
                </w:tcPr>
                <w:p w14:paraId="2B857DF6"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1982</w:t>
                  </w:r>
                </w:p>
              </w:tc>
              <w:tc>
                <w:tcPr>
                  <w:tcW w:w="1508" w:type="dxa"/>
                  <w:tcBorders>
                    <w:top w:val="single" w:sz="4" w:space="0" w:color="181717"/>
                    <w:left w:val="single" w:sz="4" w:space="0" w:color="181717"/>
                    <w:bottom w:val="single" w:sz="4" w:space="0" w:color="181717"/>
                    <w:right w:val="single" w:sz="4" w:space="0" w:color="181717"/>
                  </w:tcBorders>
                </w:tcPr>
                <w:p w14:paraId="3B3E1139" w14:textId="77777777" w:rsidR="00CB7A57" w:rsidRDefault="003B1641">
                  <w:pPr>
                    <w:framePr w:wrap="around" w:vAnchor="text" w:hAnchor="margin"/>
                    <w:spacing w:after="0" w:line="259" w:lineRule="auto"/>
                    <w:ind w:left="112" w:firstLine="0"/>
                    <w:suppressOverlap/>
                    <w:jc w:val="center"/>
                  </w:pPr>
                  <w:r>
                    <w:rPr>
                      <w:rFonts w:ascii="Calibri" w:eastAsia="Calibri" w:hAnsi="Calibri" w:cs="Calibri"/>
                      <w:sz w:val="20"/>
                    </w:rPr>
                    <w:t>8</w:t>
                  </w:r>
                </w:p>
              </w:tc>
              <w:tc>
                <w:tcPr>
                  <w:tcW w:w="840" w:type="dxa"/>
                  <w:tcBorders>
                    <w:top w:val="single" w:sz="4" w:space="0" w:color="181717"/>
                    <w:left w:val="single" w:sz="4" w:space="0" w:color="181717"/>
                    <w:bottom w:val="single" w:sz="4" w:space="0" w:color="181717"/>
                    <w:right w:val="nil"/>
                  </w:tcBorders>
                </w:tcPr>
                <w:p w14:paraId="57277CCA"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1</w:t>
                  </w:r>
                </w:p>
              </w:tc>
              <w:tc>
                <w:tcPr>
                  <w:tcW w:w="972" w:type="dxa"/>
                  <w:tcBorders>
                    <w:top w:val="single" w:sz="4" w:space="0" w:color="181717"/>
                    <w:left w:val="nil"/>
                    <w:bottom w:val="single" w:sz="4" w:space="0" w:color="181717"/>
                    <w:right w:val="single" w:sz="4" w:space="0" w:color="181717"/>
                  </w:tcBorders>
                </w:tcPr>
                <w:p w14:paraId="20EB3D5B"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.220</w:t>
                  </w:r>
                </w:p>
              </w:tc>
              <w:tc>
                <w:tcPr>
                  <w:tcW w:w="1602" w:type="dxa"/>
                  <w:tcBorders>
                    <w:top w:val="single" w:sz="4" w:space="0" w:color="181717"/>
                    <w:left w:val="single" w:sz="4" w:space="0" w:color="181717"/>
                    <w:bottom w:val="single" w:sz="4" w:space="0" w:color="181717"/>
                    <w:right w:val="single" w:sz="4" w:space="0" w:color="181717"/>
                  </w:tcBorders>
                </w:tcPr>
                <w:p w14:paraId="7B9D9C14" w14:textId="77777777" w:rsidR="00CB7A57" w:rsidRDefault="003B1641">
                  <w:pPr>
                    <w:framePr w:wrap="around" w:vAnchor="text" w:hAnchor="margin"/>
                    <w:spacing w:after="0" w:line="259" w:lineRule="auto"/>
                    <w:ind w:left="0" w:right="16" w:firstLine="0"/>
                    <w:suppressOverlap/>
                    <w:jc w:val="center"/>
                  </w:pPr>
                  <w:r>
                    <w:rPr>
                      <w:rFonts w:ascii="Calibri" w:eastAsia="Calibri" w:hAnsi="Calibri" w:cs="Calibri"/>
                      <w:sz w:val="20"/>
                    </w:rPr>
                    <w:t>0.113</w:t>
                  </w:r>
                </w:p>
              </w:tc>
            </w:tr>
            <w:tr w:rsidR="00CB7A57" w14:paraId="3AAB52B6" w14:textId="77777777">
              <w:trPr>
                <w:trHeight w:val="290"/>
              </w:trPr>
              <w:tc>
                <w:tcPr>
                  <w:tcW w:w="3409" w:type="dxa"/>
                  <w:tcBorders>
                    <w:top w:val="single" w:sz="4" w:space="0" w:color="181717"/>
                    <w:left w:val="single" w:sz="4" w:space="0" w:color="181717"/>
                    <w:bottom w:val="single" w:sz="4" w:space="0" w:color="181717"/>
                    <w:right w:val="single" w:sz="4" w:space="0" w:color="181717"/>
                  </w:tcBorders>
                </w:tcPr>
                <w:p w14:paraId="1EA86CDC" w14:textId="77777777" w:rsidR="00CB7A57" w:rsidRDefault="003B1641">
                  <w:pPr>
                    <w:framePr w:wrap="around" w:vAnchor="text" w:hAnchor="margin"/>
                    <w:spacing w:after="0" w:line="259" w:lineRule="auto"/>
                    <w:ind w:left="16" w:firstLine="0"/>
                    <w:suppressOverlap/>
                    <w:jc w:val="center"/>
                  </w:pPr>
                  <w:r>
                    <w:rPr>
                      <w:rFonts w:ascii="Calibri" w:eastAsia="Calibri" w:hAnsi="Calibri" w:cs="Calibri"/>
                      <w:b/>
                      <w:sz w:val="20"/>
                    </w:rPr>
                    <w:t>Federal National Mortgage Assn.</w:t>
                  </w:r>
                </w:p>
              </w:tc>
              <w:tc>
                <w:tcPr>
                  <w:tcW w:w="1741" w:type="dxa"/>
                  <w:gridSpan w:val="2"/>
                  <w:tcBorders>
                    <w:top w:val="single" w:sz="4" w:space="0" w:color="181717"/>
                    <w:left w:val="single" w:sz="4" w:space="0" w:color="181717"/>
                    <w:bottom w:val="single" w:sz="4" w:space="0" w:color="181717"/>
                    <w:right w:val="single" w:sz="4" w:space="0" w:color="181717"/>
                  </w:tcBorders>
                </w:tcPr>
                <w:p w14:paraId="3E64FE67"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1984</w:t>
                  </w:r>
                </w:p>
              </w:tc>
              <w:tc>
                <w:tcPr>
                  <w:tcW w:w="1508" w:type="dxa"/>
                  <w:tcBorders>
                    <w:top w:val="single" w:sz="4" w:space="0" w:color="181717"/>
                    <w:left w:val="single" w:sz="4" w:space="0" w:color="181717"/>
                    <w:bottom w:val="single" w:sz="4" w:space="0" w:color="181717"/>
                    <w:right w:val="single" w:sz="4" w:space="0" w:color="181717"/>
                  </w:tcBorders>
                </w:tcPr>
                <w:p w14:paraId="43807E06" w14:textId="77777777" w:rsidR="00CB7A57" w:rsidRDefault="003B1641">
                  <w:pPr>
                    <w:framePr w:wrap="around" w:vAnchor="text" w:hAnchor="margin"/>
                    <w:spacing w:after="0" w:line="259" w:lineRule="auto"/>
                    <w:ind w:left="112" w:firstLine="0"/>
                    <w:suppressOverlap/>
                    <w:jc w:val="center"/>
                  </w:pPr>
                  <w:r>
                    <w:rPr>
                      <w:rFonts w:ascii="Calibri" w:eastAsia="Calibri" w:hAnsi="Calibri" w:cs="Calibri"/>
                      <w:sz w:val="20"/>
                    </w:rPr>
                    <w:t>6</w:t>
                  </w:r>
                </w:p>
              </w:tc>
              <w:tc>
                <w:tcPr>
                  <w:tcW w:w="840" w:type="dxa"/>
                  <w:tcBorders>
                    <w:top w:val="single" w:sz="4" w:space="0" w:color="181717"/>
                    <w:left w:val="single" w:sz="4" w:space="0" w:color="181717"/>
                    <w:bottom w:val="single" w:sz="4" w:space="0" w:color="181717"/>
                    <w:right w:val="nil"/>
                  </w:tcBorders>
                </w:tcPr>
                <w:p w14:paraId="336F8665"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0</w:t>
                  </w:r>
                </w:p>
              </w:tc>
              <w:tc>
                <w:tcPr>
                  <w:tcW w:w="972" w:type="dxa"/>
                  <w:tcBorders>
                    <w:top w:val="single" w:sz="4" w:space="0" w:color="181717"/>
                    <w:left w:val="nil"/>
                    <w:bottom w:val="single" w:sz="4" w:space="0" w:color="181717"/>
                    <w:right w:val="single" w:sz="4" w:space="0" w:color="181717"/>
                  </w:tcBorders>
                </w:tcPr>
                <w:p w14:paraId="58839ED7"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.273</w:t>
                  </w:r>
                </w:p>
              </w:tc>
              <w:tc>
                <w:tcPr>
                  <w:tcW w:w="1602" w:type="dxa"/>
                  <w:tcBorders>
                    <w:top w:val="single" w:sz="4" w:space="0" w:color="181717"/>
                    <w:left w:val="single" w:sz="4" w:space="0" w:color="181717"/>
                    <w:bottom w:val="single" w:sz="4" w:space="0" w:color="181717"/>
                    <w:right w:val="single" w:sz="4" w:space="0" w:color="181717"/>
                  </w:tcBorders>
                </w:tcPr>
                <w:p w14:paraId="4C718941" w14:textId="77777777" w:rsidR="00CB7A57" w:rsidRDefault="003B1641">
                  <w:pPr>
                    <w:framePr w:wrap="around" w:vAnchor="text" w:hAnchor="margin"/>
                    <w:spacing w:after="0" w:line="259" w:lineRule="auto"/>
                    <w:ind w:left="0" w:right="16" w:firstLine="0"/>
                    <w:suppressOverlap/>
                    <w:jc w:val="center"/>
                  </w:pPr>
                  <w:r>
                    <w:rPr>
                      <w:rFonts w:ascii="Calibri" w:eastAsia="Calibri" w:hAnsi="Calibri" w:cs="Calibri"/>
                      <w:sz w:val="20"/>
                    </w:rPr>
                    <w:t>0.393</w:t>
                  </w:r>
                </w:p>
              </w:tc>
            </w:tr>
            <w:tr w:rsidR="00CB7A57" w14:paraId="3B90BEEB" w14:textId="77777777">
              <w:trPr>
                <w:trHeight w:val="290"/>
              </w:trPr>
              <w:tc>
                <w:tcPr>
                  <w:tcW w:w="3409" w:type="dxa"/>
                  <w:tcBorders>
                    <w:top w:val="single" w:sz="4" w:space="0" w:color="181717"/>
                    <w:left w:val="single" w:sz="4" w:space="0" w:color="181717"/>
                    <w:bottom w:val="single" w:sz="4" w:space="0" w:color="181717"/>
                    <w:right w:val="single" w:sz="4" w:space="0" w:color="181717"/>
                  </w:tcBorders>
                </w:tcPr>
                <w:p w14:paraId="5990F0A0" w14:textId="77777777" w:rsidR="00CB7A57" w:rsidRDefault="003B1641">
                  <w:pPr>
                    <w:framePr w:wrap="around" w:vAnchor="text" w:hAnchor="margin"/>
                    <w:spacing w:after="0" w:line="259" w:lineRule="auto"/>
                    <w:ind w:left="539" w:firstLine="0"/>
                    <w:suppressOverlap/>
                    <w:jc w:val="left"/>
                  </w:pPr>
                  <w:r>
                    <w:rPr>
                      <w:rFonts w:ascii="Calibri" w:eastAsia="Calibri" w:hAnsi="Calibri" w:cs="Calibri"/>
                      <w:b/>
                      <w:sz w:val="20"/>
                    </w:rPr>
                    <w:t>Gillette*</w:t>
                  </w:r>
                </w:p>
              </w:tc>
              <w:tc>
                <w:tcPr>
                  <w:tcW w:w="1741" w:type="dxa"/>
                  <w:gridSpan w:val="2"/>
                  <w:tcBorders>
                    <w:top w:val="single" w:sz="4" w:space="0" w:color="181717"/>
                    <w:left w:val="single" w:sz="4" w:space="0" w:color="181717"/>
                    <w:bottom w:val="single" w:sz="4" w:space="0" w:color="181717"/>
                    <w:right w:val="single" w:sz="4" w:space="0" w:color="181717"/>
                  </w:tcBorders>
                </w:tcPr>
                <w:p w14:paraId="286C022B"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1980</w:t>
                  </w:r>
                </w:p>
              </w:tc>
              <w:tc>
                <w:tcPr>
                  <w:tcW w:w="1508" w:type="dxa"/>
                  <w:tcBorders>
                    <w:top w:val="single" w:sz="4" w:space="0" w:color="181717"/>
                    <w:left w:val="single" w:sz="4" w:space="0" w:color="181717"/>
                    <w:bottom w:val="single" w:sz="4" w:space="0" w:color="181717"/>
                    <w:right w:val="single" w:sz="4" w:space="0" w:color="181717"/>
                  </w:tcBorders>
                </w:tcPr>
                <w:p w14:paraId="529BEF81" w14:textId="77777777" w:rsidR="00CB7A57" w:rsidRDefault="003B1641">
                  <w:pPr>
                    <w:framePr w:wrap="around" w:vAnchor="text" w:hAnchor="margin"/>
                    <w:spacing w:after="0" w:line="259" w:lineRule="auto"/>
                    <w:ind w:left="112" w:firstLine="0"/>
                    <w:suppressOverlap/>
                    <w:jc w:val="center"/>
                  </w:pPr>
                  <w:r>
                    <w:rPr>
                      <w:rFonts w:ascii="Calibri" w:eastAsia="Calibri" w:hAnsi="Calibri" w:cs="Calibri"/>
                      <w:sz w:val="20"/>
                    </w:rPr>
                    <w:t>9</w:t>
                  </w:r>
                </w:p>
              </w:tc>
              <w:tc>
                <w:tcPr>
                  <w:tcW w:w="840" w:type="dxa"/>
                  <w:tcBorders>
                    <w:top w:val="single" w:sz="4" w:space="0" w:color="181717"/>
                    <w:left w:val="single" w:sz="4" w:space="0" w:color="181717"/>
                    <w:bottom w:val="single" w:sz="4" w:space="0" w:color="181717"/>
                    <w:right w:val="nil"/>
                  </w:tcBorders>
                </w:tcPr>
                <w:p w14:paraId="4340176E"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0</w:t>
                  </w:r>
                </w:p>
              </w:tc>
              <w:tc>
                <w:tcPr>
                  <w:tcW w:w="972" w:type="dxa"/>
                  <w:tcBorders>
                    <w:top w:val="single" w:sz="4" w:space="0" w:color="181717"/>
                    <w:left w:val="nil"/>
                    <w:bottom w:val="single" w:sz="4" w:space="0" w:color="181717"/>
                    <w:right w:val="single" w:sz="4" w:space="0" w:color="181717"/>
                  </w:tcBorders>
                </w:tcPr>
                <w:p w14:paraId="0CCFC290"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.324</w:t>
                  </w:r>
                </w:p>
              </w:tc>
              <w:tc>
                <w:tcPr>
                  <w:tcW w:w="1602" w:type="dxa"/>
                  <w:tcBorders>
                    <w:top w:val="single" w:sz="4" w:space="0" w:color="181717"/>
                    <w:left w:val="single" w:sz="4" w:space="0" w:color="181717"/>
                    <w:bottom w:val="single" w:sz="4" w:space="0" w:color="181717"/>
                    <w:right w:val="single" w:sz="4" w:space="0" w:color="181717"/>
                  </w:tcBorders>
                </w:tcPr>
                <w:p w14:paraId="1967BB7F" w14:textId="77777777" w:rsidR="00CB7A57" w:rsidRDefault="003B1641">
                  <w:pPr>
                    <w:framePr w:wrap="around" w:vAnchor="text" w:hAnchor="margin"/>
                    <w:spacing w:after="0" w:line="259" w:lineRule="auto"/>
                    <w:ind w:left="0" w:right="16" w:firstLine="0"/>
                    <w:suppressOverlap/>
                    <w:jc w:val="center"/>
                  </w:pPr>
                  <w:r>
                    <w:rPr>
                      <w:rFonts w:ascii="Calibri" w:eastAsia="Calibri" w:hAnsi="Calibri" w:cs="Calibri"/>
                      <w:sz w:val="20"/>
                    </w:rPr>
                    <w:t>0.373</w:t>
                  </w:r>
                </w:p>
              </w:tc>
            </w:tr>
            <w:tr w:rsidR="00CB7A57" w14:paraId="20E8609C" w14:textId="77777777">
              <w:trPr>
                <w:trHeight w:val="290"/>
              </w:trPr>
              <w:tc>
                <w:tcPr>
                  <w:tcW w:w="3409" w:type="dxa"/>
                  <w:tcBorders>
                    <w:top w:val="single" w:sz="4" w:space="0" w:color="181717"/>
                    <w:left w:val="single" w:sz="4" w:space="0" w:color="181717"/>
                    <w:bottom w:val="single" w:sz="4" w:space="0" w:color="181717"/>
                    <w:right w:val="single" w:sz="4" w:space="0" w:color="181717"/>
                  </w:tcBorders>
                </w:tcPr>
                <w:p w14:paraId="3AF917A9" w14:textId="77777777" w:rsidR="00CB7A57" w:rsidRDefault="003B1641">
                  <w:pPr>
                    <w:framePr w:wrap="around" w:vAnchor="text" w:hAnchor="margin"/>
                    <w:spacing w:after="0" w:line="259" w:lineRule="auto"/>
                    <w:ind w:left="539" w:firstLine="0"/>
                    <w:suppressOverlap/>
                    <w:jc w:val="left"/>
                  </w:pPr>
                  <w:r>
                    <w:rPr>
                      <w:rFonts w:ascii="Calibri" w:eastAsia="Calibri" w:hAnsi="Calibri" w:cs="Calibri"/>
                      <w:b/>
                      <w:sz w:val="20"/>
                    </w:rPr>
                    <w:t>Kimberly-Clark</w:t>
                  </w:r>
                </w:p>
              </w:tc>
              <w:tc>
                <w:tcPr>
                  <w:tcW w:w="1741" w:type="dxa"/>
                  <w:gridSpan w:val="2"/>
                  <w:tcBorders>
                    <w:top w:val="single" w:sz="4" w:space="0" w:color="181717"/>
                    <w:left w:val="single" w:sz="4" w:space="0" w:color="181717"/>
                    <w:bottom w:val="single" w:sz="4" w:space="0" w:color="181717"/>
                    <w:right w:val="single" w:sz="4" w:space="0" w:color="181717"/>
                  </w:tcBorders>
                </w:tcPr>
                <w:p w14:paraId="010D8384"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1972</w:t>
                  </w:r>
                </w:p>
              </w:tc>
              <w:tc>
                <w:tcPr>
                  <w:tcW w:w="1508" w:type="dxa"/>
                  <w:tcBorders>
                    <w:top w:val="single" w:sz="4" w:space="0" w:color="181717"/>
                    <w:left w:val="single" w:sz="4" w:space="0" w:color="181717"/>
                    <w:bottom w:val="single" w:sz="4" w:space="0" w:color="181717"/>
                    <w:right w:val="single" w:sz="4" w:space="0" w:color="181717"/>
                  </w:tcBorders>
                </w:tcPr>
                <w:p w14:paraId="7E7B1F9D"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18</w:t>
                  </w:r>
                </w:p>
              </w:tc>
              <w:tc>
                <w:tcPr>
                  <w:tcW w:w="840" w:type="dxa"/>
                  <w:tcBorders>
                    <w:top w:val="single" w:sz="4" w:space="0" w:color="181717"/>
                    <w:left w:val="single" w:sz="4" w:space="0" w:color="181717"/>
                    <w:bottom w:val="single" w:sz="4" w:space="0" w:color="181717"/>
                    <w:right w:val="nil"/>
                  </w:tcBorders>
                </w:tcPr>
                <w:p w14:paraId="5478C0DF"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1</w:t>
                  </w:r>
                </w:p>
              </w:tc>
              <w:tc>
                <w:tcPr>
                  <w:tcW w:w="972" w:type="dxa"/>
                  <w:tcBorders>
                    <w:top w:val="single" w:sz="4" w:space="0" w:color="181717"/>
                    <w:left w:val="nil"/>
                    <w:bottom w:val="single" w:sz="4" w:space="0" w:color="181717"/>
                    <w:right w:val="single" w:sz="4" w:space="0" w:color="181717"/>
                  </w:tcBorders>
                </w:tcPr>
                <w:p w14:paraId="378C138A"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.269</w:t>
                  </w:r>
                </w:p>
              </w:tc>
              <w:tc>
                <w:tcPr>
                  <w:tcW w:w="1602" w:type="dxa"/>
                  <w:tcBorders>
                    <w:top w:val="single" w:sz="4" w:space="0" w:color="181717"/>
                    <w:left w:val="single" w:sz="4" w:space="0" w:color="181717"/>
                    <w:bottom w:val="single" w:sz="4" w:space="0" w:color="181717"/>
                    <w:right w:val="single" w:sz="4" w:space="0" w:color="181717"/>
                  </w:tcBorders>
                </w:tcPr>
                <w:p w14:paraId="13D65786" w14:textId="77777777" w:rsidR="00CB7A57" w:rsidRDefault="003B1641">
                  <w:pPr>
                    <w:framePr w:wrap="around" w:vAnchor="text" w:hAnchor="margin"/>
                    <w:spacing w:after="0" w:line="259" w:lineRule="auto"/>
                    <w:ind w:left="0" w:right="16" w:firstLine="0"/>
                    <w:suppressOverlap/>
                    <w:jc w:val="center"/>
                  </w:pPr>
                  <w:r>
                    <w:rPr>
                      <w:rFonts w:ascii="Calibri" w:eastAsia="Calibri" w:hAnsi="Calibri" w:cs="Calibri"/>
                      <w:sz w:val="20"/>
                    </w:rPr>
                    <w:t>0.103</w:t>
                  </w:r>
                </w:p>
              </w:tc>
            </w:tr>
            <w:tr w:rsidR="00CB7A57" w14:paraId="4784B060" w14:textId="77777777">
              <w:trPr>
                <w:trHeight w:val="290"/>
              </w:trPr>
              <w:tc>
                <w:tcPr>
                  <w:tcW w:w="3409" w:type="dxa"/>
                  <w:tcBorders>
                    <w:top w:val="single" w:sz="4" w:space="0" w:color="181717"/>
                    <w:left w:val="single" w:sz="4" w:space="0" w:color="181717"/>
                    <w:bottom w:val="single" w:sz="4" w:space="0" w:color="181717"/>
                    <w:right w:val="single" w:sz="4" w:space="0" w:color="181717"/>
                  </w:tcBorders>
                </w:tcPr>
                <w:p w14:paraId="0DCF0B9B" w14:textId="77777777" w:rsidR="00CB7A57" w:rsidRDefault="003B1641">
                  <w:pPr>
                    <w:framePr w:wrap="around" w:vAnchor="text" w:hAnchor="margin"/>
                    <w:spacing w:after="0" w:line="259" w:lineRule="auto"/>
                    <w:ind w:left="539" w:firstLine="0"/>
                    <w:suppressOverlap/>
                    <w:jc w:val="left"/>
                  </w:pPr>
                  <w:r>
                    <w:rPr>
                      <w:rFonts w:ascii="Calibri" w:eastAsia="Calibri" w:hAnsi="Calibri" w:cs="Calibri"/>
                      <w:b/>
                      <w:sz w:val="20"/>
                    </w:rPr>
                    <w:t>Kroger</w:t>
                  </w:r>
                </w:p>
              </w:tc>
              <w:tc>
                <w:tcPr>
                  <w:tcW w:w="1741" w:type="dxa"/>
                  <w:gridSpan w:val="2"/>
                  <w:tcBorders>
                    <w:top w:val="single" w:sz="4" w:space="0" w:color="181717"/>
                    <w:left w:val="single" w:sz="4" w:space="0" w:color="181717"/>
                    <w:bottom w:val="single" w:sz="4" w:space="0" w:color="181717"/>
                    <w:right w:val="single" w:sz="4" w:space="0" w:color="181717"/>
                  </w:tcBorders>
                </w:tcPr>
                <w:p w14:paraId="5AFCDEFF"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1973</w:t>
                  </w:r>
                </w:p>
              </w:tc>
              <w:tc>
                <w:tcPr>
                  <w:tcW w:w="1508" w:type="dxa"/>
                  <w:tcBorders>
                    <w:top w:val="single" w:sz="4" w:space="0" w:color="181717"/>
                    <w:left w:val="single" w:sz="4" w:space="0" w:color="181717"/>
                    <w:bottom w:val="single" w:sz="4" w:space="0" w:color="181717"/>
                    <w:right w:val="single" w:sz="4" w:space="0" w:color="181717"/>
                  </w:tcBorders>
                </w:tcPr>
                <w:p w14:paraId="3203C47D"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17</w:t>
                  </w:r>
                </w:p>
              </w:tc>
              <w:tc>
                <w:tcPr>
                  <w:tcW w:w="840" w:type="dxa"/>
                  <w:tcBorders>
                    <w:top w:val="single" w:sz="4" w:space="0" w:color="181717"/>
                    <w:left w:val="single" w:sz="4" w:space="0" w:color="181717"/>
                    <w:bottom w:val="single" w:sz="4" w:space="0" w:color="181717"/>
                    <w:right w:val="nil"/>
                  </w:tcBorders>
                </w:tcPr>
                <w:p w14:paraId="5595BFCF"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1</w:t>
                  </w:r>
                </w:p>
              </w:tc>
              <w:tc>
                <w:tcPr>
                  <w:tcW w:w="972" w:type="dxa"/>
                  <w:tcBorders>
                    <w:top w:val="single" w:sz="4" w:space="0" w:color="181717"/>
                    <w:left w:val="nil"/>
                    <w:bottom w:val="single" w:sz="4" w:space="0" w:color="181717"/>
                    <w:right w:val="single" w:sz="4" w:space="0" w:color="181717"/>
                  </w:tcBorders>
                </w:tcPr>
                <w:p w14:paraId="6CEC3E37"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.066</w:t>
                  </w:r>
                </w:p>
              </w:tc>
              <w:tc>
                <w:tcPr>
                  <w:tcW w:w="1602" w:type="dxa"/>
                  <w:tcBorders>
                    <w:top w:val="single" w:sz="4" w:space="0" w:color="181717"/>
                    <w:left w:val="single" w:sz="4" w:space="0" w:color="181717"/>
                    <w:bottom w:val="single" w:sz="4" w:space="0" w:color="181717"/>
                    <w:right w:val="single" w:sz="4" w:space="0" w:color="181717"/>
                  </w:tcBorders>
                </w:tcPr>
                <w:p w14:paraId="3E1BB1E7" w14:textId="77777777" w:rsidR="00CB7A57" w:rsidRDefault="003B1641">
                  <w:pPr>
                    <w:framePr w:wrap="around" w:vAnchor="text" w:hAnchor="margin"/>
                    <w:spacing w:after="0" w:line="259" w:lineRule="auto"/>
                    <w:ind w:left="0" w:right="16" w:firstLine="0"/>
                    <w:suppressOverlap/>
                    <w:jc w:val="center"/>
                  </w:pPr>
                  <w:r>
                    <w:rPr>
                      <w:rFonts w:ascii="Calibri" w:eastAsia="Calibri" w:hAnsi="Calibri" w:cs="Calibri"/>
                      <w:sz w:val="20"/>
                    </w:rPr>
                    <w:t>0.144</w:t>
                  </w:r>
                </w:p>
              </w:tc>
            </w:tr>
            <w:tr w:rsidR="00CB7A57" w14:paraId="62E4743C" w14:textId="77777777">
              <w:trPr>
                <w:trHeight w:val="290"/>
              </w:trPr>
              <w:tc>
                <w:tcPr>
                  <w:tcW w:w="3409" w:type="dxa"/>
                  <w:tcBorders>
                    <w:top w:val="single" w:sz="4" w:space="0" w:color="181717"/>
                    <w:left w:val="single" w:sz="4" w:space="0" w:color="181717"/>
                    <w:bottom w:val="single" w:sz="4" w:space="0" w:color="181717"/>
                    <w:right w:val="single" w:sz="4" w:space="0" w:color="181717"/>
                  </w:tcBorders>
                </w:tcPr>
                <w:p w14:paraId="486F3B53" w14:textId="77777777" w:rsidR="00CB7A57" w:rsidRDefault="003B1641">
                  <w:pPr>
                    <w:framePr w:wrap="around" w:vAnchor="text" w:hAnchor="margin"/>
                    <w:spacing w:after="0" w:line="259" w:lineRule="auto"/>
                    <w:ind w:left="539" w:firstLine="0"/>
                    <w:suppressOverlap/>
                    <w:jc w:val="left"/>
                  </w:pPr>
                  <w:r>
                    <w:rPr>
                      <w:rFonts w:ascii="Calibri" w:eastAsia="Calibri" w:hAnsi="Calibri" w:cs="Calibri"/>
                      <w:b/>
                      <w:sz w:val="20"/>
                    </w:rPr>
                    <w:t>Nucor</w:t>
                  </w:r>
                </w:p>
              </w:tc>
              <w:tc>
                <w:tcPr>
                  <w:tcW w:w="1741" w:type="dxa"/>
                  <w:gridSpan w:val="2"/>
                  <w:tcBorders>
                    <w:top w:val="single" w:sz="4" w:space="0" w:color="181717"/>
                    <w:left w:val="single" w:sz="4" w:space="0" w:color="181717"/>
                    <w:bottom w:val="single" w:sz="4" w:space="0" w:color="181717"/>
                    <w:right w:val="single" w:sz="4" w:space="0" w:color="181717"/>
                  </w:tcBorders>
                </w:tcPr>
                <w:p w14:paraId="6E43C0EE"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1975</w:t>
                  </w:r>
                </w:p>
              </w:tc>
              <w:tc>
                <w:tcPr>
                  <w:tcW w:w="1508" w:type="dxa"/>
                  <w:tcBorders>
                    <w:top w:val="single" w:sz="4" w:space="0" w:color="181717"/>
                    <w:left w:val="single" w:sz="4" w:space="0" w:color="181717"/>
                    <w:bottom w:val="single" w:sz="4" w:space="0" w:color="181717"/>
                    <w:right w:val="single" w:sz="4" w:space="0" w:color="181717"/>
                  </w:tcBorders>
                </w:tcPr>
                <w:p w14:paraId="384D6C3D"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15</w:t>
                  </w:r>
                </w:p>
              </w:tc>
              <w:tc>
                <w:tcPr>
                  <w:tcW w:w="840" w:type="dxa"/>
                  <w:tcBorders>
                    <w:top w:val="single" w:sz="4" w:space="0" w:color="181717"/>
                    <w:left w:val="single" w:sz="4" w:space="0" w:color="181717"/>
                    <w:bottom w:val="single" w:sz="4" w:space="0" w:color="181717"/>
                    <w:right w:val="nil"/>
                  </w:tcBorders>
                </w:tcPr>
                <w:p w14:paraId="0D3E2AB8"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1</w:t>
                  </w:r>
                </w:p>
              </w:tc>
              <w:tc>
                <w:tcPr>
                  <w:tcW w:w="972" w:type="dxa"/>
                  <w:tcBorders>
                    <w:top w:val="single" w:sz="4" w:space="0" w:color="181717"/>
                    <w:left w:val="nil"/>
                    <w:bottom w:val="single" w:sz="4" w:space="0" w:color="181717"/>
                    <w:right w:val="single" w:sz="4" w:space="0" w:color="181717"/>
                  </w:tcBorders>
                </w:tcPr>
                <w:p w14:paraId="24F97E0E"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.449</w:t>
                  </w:r>
                </w:p>
              </w:tc>
              <w:tc>
                <w:tcPr>
                  <w:tcW w:w="1602" w:type="dxa"/>
                  <w:tcBorders>
                    <w:top w:val="single" w:sz="4" w:space="0" w:color="181717"/>
                    <w:left w:val="single" w:sz="4" w:space="0" w:color="181717"/>
                    <w:bottom w:val="single" w:sz="4" w:space="0" w:color="181717"/>
                    <w:right w:val="single" w:sz="4" w:space="0" w:color="181717"/>
                  </w:tcBorders>
                </w:tcPr>
                <w:p w14:paraId="1265B52F" w14:textId="77777777" w:rsidR="00CB7A57" w:rsidRDefault="003B1641">
                  <w:pPr>
                    <w:framePr w:wrap="around" w:vAnchor="text" w:hAnchor="margin"/>
                    <w:spacing w:after="0" w:line="259" w:lineRule="auto"/>
                    <w:ind w:left="0" w:right="16" w:firstLine="0"/>
                    <w:suppressOverlap/>
                    <w:jc w:val="center"/>
                  </w:pPr>
                  <w:r>
                    <w:rPr>
                      <w:rFonts w:ascii="Calibri" w:eastAsia="Calibri" w:hAnsi="Calibri" w:cs="Calibri"/>
                      <w:sz w:val="20"/>
                    </w:rPr>
                    <w:t>0.074</w:t>
                  </w:r>
                </w:p>
              </w:tc>
            </w:tr>
            <w:tr w:rsidR="00CB7A57" w14:paraId="1C8DD653" w14:textId="77777777">
              <w:trPr>
                <w:trHeight w:val="290"/>
              </w:trPr>
              <w:tc>
                <w:tcPr>
                  <w:tcW w:w="3409" w:type="dxa"/>
                  <w:tcBorders>
                    <w:top w:val="single" w:sz="4" w:space="0" w:color="181717"/>
                    <w:left w:val="single" w:sz="4" w:space="0" w:color="181717"/>
                    <w:bottom w:val="single" w:sz="4" w:space="0" w:color="181717"/>
                    <w:right w:val="single" w:sz="4" w:space="0" w:color="181717"/>
                  </w:tcBorders>
                </w:tcPr>
                <w:p w14:paraId="714C096C" w14:textId="77777777" w:rsidR="00CB7A57" w:rsidRDefault="003B1641">
                  <w:pPr>
                    <w:framePr w:wrap="around" w:vAnchor="text" w:hAnchor="margin"/>
                    <w:spacing w:after="0" w:line="259" w:lineRule="auto"/>
                    <w:ind w:left="539" w:firstLine="0"/>
                    <w:suppressOverlap/>
                    <w:jc w:val="left"/>
                  </w:pPr>
                  <w:r>
                    <w:rPr>
                      <w:rFonts w:ascii="Calibri" w:eastAsia="Calibri" w:hAnsi="Calibri" w:cs="Calibri"/>
                      <w:b/>
                      <w:sz w:val="20"/>
                    </w:rPr>
                    <w:t>Pitney Bowes</w:t>
                  </w:r>
                </w:p>
              </w:tc>
              <w:tc>
                <w:tcPr>
                  <w:tcW w:w="1741" w:type="dxa"/>
                  <w:gridSpan w:val="2"/>
                  <w:tcBorders>
                    <w:top w:val="single" w:sz="4" w:space="0" w:color="181717"/>
                    <w:left w:val="single" w:sz="4" w:space="0" w:color="181717"/>
                    <w:bottom w:val="single" w:sz="4" w:space="0" w:color="181717"/>
                    <w:right w:val="single" w:sz="4" w:space="0" w:color="181717"/>
                  </w:tcBorders>
                </w:tcPr>
                <w:p w14:paraId="0D125618"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1973</w:t>
                  </w:r>
                </w:p>
              </w:tc>
              <w:tc>
                <w:tcPr>
                  <w:tcW w:w="1508" w:type="dxa"/>
                  <w:tcBorders>
                    <w:top w:val="single" w:sz="4" w:space="0" w:color="181717"/>
                    <w:left w:val="single" w:sz="4" w:space="0" w:color="181717"/>
                    <w:bottom w:val="single" w:sz="4" w:space="0" w:color="181717"/>
                    <w:right w:val="single" w:sz="4" w:space="0" w:color="181717"/>
                  </w:tcBorders>
                </w:tcPr>
                <w:p w14:paraId="137D92E4"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17</w:t>
                  </w:r>
                </w:p>
              </w:tc>
              <w:tc>
                <w:tcPr>
                  <w:tcW w:w="840" w:type="dxa"/>
                  <w:tcBorders>
                    <w:top w:val="single" w:sz="4" w:space="0" w:color="181717"/>
                    <w:left w:val="single" w:sz="4" w:space="0" w:color="181717"/>
                    <w:bottom w:val="single" w:sz="4" w:space="0" w:color="181717"/>
                    <w:right w:val="nil"/>
                  </w:tcBorders>
                </w:tcPr>
                <w:p w14:paraId="5378E2D5"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0</w:t>
                  </w:r>
                </w:p>
              </w:tc>
              <w:tc>
                <w:tcPr>
                  <w:tcW w:w="972" w:type="dxa"/>
                  <w:tcBorders>
                    <w:top w:val="single" w:sz="4" w:space="0" w:color="181717"/>
                    <w:left w:val="nil"/>
                    <w:bottom w:val="single" w:sz="4" w:space="0" w:color="181717"/>
                    <w:right w:val="single" w:sz="4" w:space="0" w:color="181717"/>
                  </w:tcBorders>
                </w:tcPr>
                <w:p w14:paraId="5FA2F372"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.729</w:t>
                  </w:r>
                </w:p>
              </w:tc>
              <w:tc>
                <w:tcPr>
                  <w:tcW w:w="1602" w:type="dxa"/>
                  <w:tcBorders>
                    <w:top w:val="single" w:sz="4" w:space="0" w:color="181717"/>
                    <w:left w:val="single" w:sz="4" w:space="0" w:color="181717"/>
                    <w:bottom w:val="single" w:sz="4" w:space="0" w:color="181717"/>
                    <w:right w:val="single" w:sz="4" w:space="0" w:color="181717"/>
                  </w:tcBorders>
                </w:tcPr>
                <w:p w14:paraId="0962561A" w14:textId="77777777" w:rsidR="00CB7A57" w:rsidRDefault="003B1641">
                  <w:pPr>
                    <w:framePr w:wrap="around" w:vAnchor="text" w:hAnchor="margin"/>
                    <w:spacing w:after="0" w:line="259" w:lineRule="auto"/>
                    <w:ind w:left="0" w:right="16" w:firstLine="0"/>
                    <w:suppressOverlap/>
                    <w:jc w:val="center"/>
                  </w:pPr>
                  <w:r>
                    <w:rPr>
                      <w:rFonts w:ascii="Calibri" w:eastAsia="Calibri" w:hAnsi="Calibri" w:cs="Calibri"/>
                      <w:sz w:val="20"/>
                    </w:rPr>
                    <w:t>0.233</w:t>
                  </w:r>
                </w:p>
              </w:tc>
            </w:tr>
            <w:tr w:rsidR="00CB7A57" w14:paraId="60683B61" w14:textId="77777777">
              <w:trPr>
                <w:trHeight w:val="290"/>
              </w:trPr>
              <w:tc>
                <w:tcPr>
                  <w:tcW w:w="3409" w:type="dxa"/>
                  <w:tcBorders>
                    <w:top w:val="single" w:sz="4" w:space="0" w:color="181717"/>
                    <w:left w:val="single" w:sz="4" w:space="0" w:color="181717"/>
                    <w:bottom w:val="single" w:sz="4" w:space="0" w:color="181717"/>
                    <w:right w:val="single" w:sz="4" w:space="0" w:color="181717"/>
                  </w:tcBorders>
                </w:tcPr>
                <w:p w14:paraId="0863EE72" w14:textId="77777777" w:rsidR="00CB7A57" w:rsidRDefault="003B1641">
                  <w:pPr>
                    <w:framePr w:wrap="around" w:vAnchor="text" w:hAnchor="margin"/>
                    <w:spacing w:after="0" w:line="259" w:lineRule="auto"/>
                    <w:ind w:left="539" w:firstLine="0"/>
                    <w:suppressOverlap/>
                    <w:jc w:val="left"/>
                  </w:pPr>
                  <w:r>
                    <w:rPr>
                      <w:rFonts w:ascii="Calibri" w:eastAsia="Calibri" w:hAnsi="Calibri" w:cs="Calibri"/>
                      <w:b/>
                      <w:sz w:val="20"/>
                    </w:rPr>
                    <w:t>Walgreens</w:t>
                  </w:r>
                </w:p>
              </w:tc>
              <w:tc>
                <w:tcPr>
                  <w:tcW w:w="1741" w:type="dxa"/>
                  <w:gridSpan w:val="2"/>
                  <w:tcBorders>
                    <w:top w:val="single" w:sz="4" w:space="0" w:color="181717"/>
                    <w:left w:val="single" w:sz="4" w:space="0" w:color="181717"/>
                    <w:bottom w:val="single" w:sz="4" w:space="0" w:color="181717"/>
                    <w:right w:val="single" w:sz="4" w:space="0" w:color="181717"/>
                  </w:tcBorders>
                </w:tcPr>
                <w:p w14:paraId="7CBF390B"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1975</w:t>
                  </w:r>
                </w:p>
              </w:tc>
              <w:tc>
                <w:tcPr>
                  <w:tcW w:w="1508" w:type="dxa"/>
                  <w:tcBorders>
                    <w:top w:val="single" w:sz="4" w:space="0" w:color="181717"/>
                    <w:left w:val="single" w:sz="4" w:space="0" w:color="181717"/>
                    <w:bottom w:val="single" w:sz="4" w:space="0" w:color="181717"/>
                    <w:right w:val="single" w:sz="4" w:space="0" w:color="181717"/>
                  </w:tcBorders>
                </w:tcPr>
                <w:p w14:paraId="4EFC4C96"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15</w:t>
                  </w:r>
                </w:p>
              </w:tc>
              <w:tc>
                <w:tcPr>
                  <w:tcW w:w="840" w:type="dxa"/>
                  <w:tcBorders>
                    <w:top w:val="single" w:sz="4" w:space="0" w:color="181717"/>
                    <w:left w:val="single" w:sz="4" w:space="0" w:color="181717"/>
                    <w:bottom w:val="single" w:sz="4" w:space="0" w:color="181717"/>
                    <w:right w:val="nil"/>
                  </w:tcBorders>
                </w:tcPr>
                <w:p w14:paraId="4012FE6B"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1</w:t>
                  </w:r>
                </w:p>
              </w:tc>
              <w:tc>
                <w:tcPr>
                  <w:tcW w:w="972" w:type="dxa"/>
                  <w:tcBorders>
                    <w:top w:val="single" w:sz="4" w:space="0" w:color="181717"/>
                    <w:left w:val="nil"/>
                    <w:bottom w:val="single" w:sz="4" w:space="0" w:color="181717"/>
                    <w:right w:val="single" w:sz="4" w:space="0" w:color="181717"/>
                  </w:tcBorders>
                </w:tcPr>
                <w:p w14:paraId="33B7263D"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.930</w:t>
                  </w:r>
                </w:p>
              </w:tc>
              <w:tc>
                <w:tcPr>
                  <w:tcW w:w="1602" w:type="dxa"/>
                  <w:tcBorders>
                    <w:top w:val="single" w:sz="4" w:space="0" w:color="181717"/>
                    <w:left w:val="single" w:sz="4" w:space="0" w:color="181717"/>
                    <w:bottom w:val="single" w:sz="4" w:space="0" w:color="181717"/>
                    <w:right w:val="single" w:sz="4" w:space="0" w:color="181717"/>
                  </w:tcBorders>
                </w:tcPr>
                <w:p w14:paraId="1442C40F" w14:textId="77777777" w:rsidR="00CB7A57" w:rsidRDefault="003B1641">
                  <w:pPr>
                    <w:framePr w:wrap="around" w:vAnchor="text" w:hAnchor="margin"/>
                    <w:spacing w:after="0" w:line="259" w:lineRule="auto"/>
                    <w:ind w:left="23" w:firstLine="0"/>
                    <w:suppressOverlap/>
                    <w:jc w:val="center"/>
                  </w:pPr>
                  <w:r>
                    <w:rPr>
                      <w:rFonts w:ascii="Calibri" w:eastAsia="Calibri" w:hAnsi="Calibri" w:cs="Calibri"/>
                      <w:b/>
                      <w:sz w:val="20"/>
                    </w:rPr>
                    <w:t>0.028</w:t>
                  </w:r>
                </w:p>
              </w:tc>
            </w:tr>
            <w:tr w:rsidR="00CB7A57" w14:paraId="5DB5EA01" w14:textId="77777777">
              <w:trPr>
                <w:trHeight w:val="290"/>
              </w:trPr>
              <w:tc>
                <w:tcPr>
                  <w:tcW w:w="3409" w:type="dxa"/>
                  <w:tcBorders>
                    <w:top w:val="single" w:sz="4" w:space="0" w:color="181717"/>
                    <w:left w:val="single" w:sz="4" w:space="0" w:color="181717"/>
                    <w:bottom w:val="single" w:sz="4" w:space="0" w:color="181717"/>
                    <w:right w:val="single" w:sz="4" w:space="0" w:color="181717"/>
                  </w:tcBorders>
                </w:tcPr>
                <w:p w14:paraId="19BAE077" w14:textId="77777777" w:rsidR="00CB7A57" w:rsidRDefault="003B1641">
                  <w:pPr>
                    <w:framePr w:wrap="around" w:vAnchor="text" w:hAnchor="margin"/>
                    <w:spacing w:after="0" w:line="259" w:lineRule="auto"/>
                    <w:ind w:left="539" w:firstLine="0"/>
                    <w:suppressOverlap/>
                    <w:jc w:val="left"/>
                  </w:pPr>
                  <w:r>
                    <w:rPr>
                      <w:rFonts w:ascii="Calibri" w:eastAsia="Calibri" w:hAnsi="Calibri" w:cs="Calibri"/>
                      <w:b/>
                      <w:sz w:val="20"/>
                    </w:rPr>
                    <w:t>Wells Fargo &amp; Co.</w:t>
                  </w:r>
                </w:p>
              </w:tc>
              <w:tc>
                <w:tcPr>
                  <w:tcW w:w="1741" w:type="dxa"/>
                  <w:gridSpan w:val="2"/>
                  <w:tcBorders>
                    <w:top w:val="single" w:sz="4" w:space="0" w:color="181717"/>
                    <w:left w:val="single" w:sz="4" w:space="0" w:color="181717"/>
                    <w:bottom w:val="single" w:sz="4" w:space="0" w:color="181717"/>
                    <w:right w:val="single" w:sz="4" w:space="0" w:color="181717"/>
                  </w:tcBorders>
                </w:tcPr>
                <w:p w14:paraId="3142021C" w14:textId="77777777" w:rsidR="00CB7A57" w:rsidRDefault="003B1641">
                  <w:pPr>
                    <w:framePr w:wrap="around" w:vAnchor="text" w:hAnchor="margin"/>
                    <w:spacing w:after="0" w:line="259" w:lineRule="auto"/>
                    <w:ind w:left="30" w:firstLine="0"/>
                    <w:suppressOverlap/>
                    <w:jc w:val="center"/>
                  </w:pPr>
                  <w:r>
                    <w:rPr>
                      <w:rFonts w:ascii="Calibri" w:eastAsia="Calibri" w:hAnsi="Calibri" w:cs="Calibri"/>
                      <w:sz w:val="20"/>
                    </w:rPr>
                    <w:t>1983</w:t>
                  </w:r>
                </w:p>
              </w:tc>
              <w:tc>
                <w:tcPr>
                  <w:tcW w:w="1508" w:type="dxa"/>
                  <w:tcBorders>
                    <w:top w:val="single" w:sz="4" w:space="0" w:color="181717"/>
                    <w:left w:val="single" w:sz="4" w:space="0" w:color="181717"/>
                    <w:bottom w:val="single" w:sz="4" w:space="0" w:color="181717"/>
                    <w:right w:val="single" w:sz="4" w:space="0" w:color="181717"/>
                  </w:tcBorders>
                </w:tcPr>
                <w:p w14:paraId="4C57AD95" w14:textId="77777777" w:rsidR="00CB7A57" w:rsidRDefault="003B1641">
                  <w:pPr>
                    <w:framePr w:wrap="around" w:vAnchor="text" w:hAnchor="margin"/>
                    <w:spacing w:after="0" w:line="259" w:lineRule="auto"/>
                    <w:ind w:left="112" w:firstLine="0"/>
                    <w:suppressOverlap/>
                    <w:jc w:val="center"/>
                  </w:pPr>
                  <w:r>
                    <w:rPr>
                      <w:rFonts w:ascii="Calibri" w:eastAsia="Calibri" w:hAnsi="Calibri" w:cs="Calibri"/>
                      <w:sz w:val="20"/>
                    </w:rPr>
                    <w:t>7</w:t>
                  </w:r>
                </w:p>
              </w:tc>
              <w:tc>
                <w:tcPr>
                  <w:tcW w:w="840" w:type="dxa"/>
                  <w:tcBorders>
                    <w:top w:val="single" w:sz="4" w:space="0" w:color="181717"/>
                    <w:left w:val="single" w:sz="4" w:space="0" w:color="181717"/>
                    <w:bottom w:val="single" w:sz="4" w:space="0" w:color="181717"/>
                    <w:right w:val="nil"/>
                  </w:tcBorders>
                </w:tcPr>
                <w:p w14:paraId="5AAB1CEC" w14:textId="77777777" w:rsidR="00CB7A57" w:rsidRDefault="003B1641">
                  <w:pPr>
                    <w:framePr w:wrap="around" w:vAnchor="text" w:hAnchor="margin"/>
                    <w:spacing w:after="0" w:line="259" w:lineRule="auto"/>
                    <w:ind w:left="0" w:right="7" w:firstLine="0"/>
                    <w:suppressOverlap/>
                    <w:jc w:val="right"/>
                  </w:pPr>
                  <w:r>
                    <w:rPr>
                      <w:rFonts w:ascii="Calibri" w:eastAsia="Calibri" w:hAnsi="Calibri" w:cs="Calibri"/>
                      <w:sz w:val="20"/>
                    </w:rPr>
                    <w:t>1</w:t>
                  </w:r>
                </w:p>
              </w:tc>
              <w:tc>
                <w:tcPr>
                  <w:tcW w:w="972" w:type="dxa"/>
                  <w:tcBorders>
                    <w:top w:val="single" w:sz="4" w:space="0" w:color="181717"/>
                    <w:left w:val="nil"/>
                    <w:bottom w:val="single" w:sz="4" w:space="0" w:color="181717"/>
                    <w:right w:val="single" w:sz="4" w:space="0" w:color="181717"/>
                  </w:tcBorders>
                </w:tcPr>
                <w:p w14:paraId="718163DF" w14:textId="77777777" w:rsidR="00CB7A57" w:rsidRDefault="003B1641">
                  <w:pPr>
                    <w:framePr w:wrap="around" w:vAnchor="text" w:hAnchor="margin"/>
                    <w:spacing w:after="0" w:line="259" w:lineRule="auto"/>
                    <w:ind w:left="-36" w:firstLine="0"/>
                    <w:suppressOverlap/>
                    <w:jc w:val="left"/>
                  </w:pPr>
                  <w:r>
                    <w:rPr>
                      <w:rFonts w:ascii="Calibri" w:eastAsia="Calibri" w:hAnsi="Calibri" w:cs="Calibri"/>
                      <w:sz w:val="20"/>
                    </w:rPr>
                    <w:t>.109</w:t>
                  </w:r>
                </w:p>
              </w:tc>
              <w:tc>
                <w:tcPr>
                  <w:tcW w:w="1602" w:type="dxa"/>
                  <w:tcBorders>
                    <w:top w:val="single" w:sz="4" w:space="0" w:color="181717"/>
                    <w:left w:val="single" w:sz="4" w:space="0" w:color="181717"/>
                    <w:bottom w:val="single" w:sz="4" w:space="0" w:color="181717"/>
                    <w:right w:val="single" w:sz="4" w:space="0" w:color="181717"/>
                  </w:tcBorders>
                </w:tcPr>
                <w:p w14:paraId="0BE14F8F" w14:textId="77777777" w:rsidR="00CB7A57" w:rsidRDefault="003B1641">
                  <w:pPr>
                    <w:framePr w:wrap="around" w:vAnchor="text" w:hAnchor="margin"/>
                    <w:spacing w:after="0" w:line="259" w:lineRule="auto"/>
                    <w:ind w:left="0" w:right="16" w:firstLine="0"/>
                    <w:suppressOverlap/>
                    <w:jc w:val="center"/>
                  </w:pPr>
                  <w:r>
                    <w:rPr>
                      <w:rFonts w:ascii="Calibri" w:eastAsia="Calibri" w:hAnsi="Calibri" w:cs="Calibri"/>
                      <w:sz w:val="20"/>
                    </w:rPr>
                    <w:t>0.135</w:t>
                  </w:r>
                </w:p>
              </w:tc>
            </w:tr>
          </w:tbl>
          <w:p w14:paraId="26DF0607" w14:textId="77777777" w:rsidR="00CB7A57" w:rsidRDefault="003B1641">
            <w:pPr>
              <w:spacing w:after="0" w:line="246" w:lineRule="auto"/>
              <w:ind w:left="0" w:right="-2" w:firstLine="280"/>
            </w:pPr>
            <w:r>
              <w:rPr>
                <w:rFonts w:ascii="Calibri" w:eastAsia="Calibri" w:hAnsi="Calibri" w:cs="Calibri"/>
                <w:sz w:val="16"/>
              </w:rPr>
              <w:t xml:space="preserve">Table 3 shows returns for the 11 GTG firms compared to the S&amp;P 500. The null hypothesis of equal returns is rejected if the individual stock returns are significantly higher than the S&amp;P 500 returns over the time period examined. If the null hypothesis is </w:t>
            </w:r>
            <w:r>
              <w:rPr>
                <w:rFonts w:ascii="Calibri" w:eastAsia="Calibri" w:hAnsi="Calibri" w:cs="Calibri"/>
                <w:sz w:val="16"/>
              </w:rPr>
              <w:t>rejected, we can conclude the average stock return is higher than the average S&amp;P 500 return. If the null hypothesis is not rejected, there is not a significant difference in the returns. Significant p-values are bold.</w:t>
            </w:r>
          </w:p>
          <w:p w14:paraId="54F6EFF7" w14:textId="77777777" w:rsidR="00CB7A57" w:rsidRDefault="003B1641">
            <w:pPr>
              <w:spacing w:after="0" w:line="259" w:lineRule="auto"/>
              <w:ind w:left="280" w:firstLine="0"/>
              <w:jc w:val="left"/>
            </w:pPr>
            <w:r>
              <w:rPr>
                <w:rFonts w:ascii="Calibri" w:eastAsia="Calibri" w:hAnsi="Calibri" w:cs="Calibri"/>
                <w:sz w:val="16"/>
              </w:rPr>
              <w:t>* Gillette returns only through 2004,</w:t>
            </w:r>
            <w:r>
              <w:rPr>
                <w:rFonts w:ascii="Calibri" w:eastAsia="Calibri" w:hAnsi="Calibri" w:cs="Calibri"/>
                <w:sz w:val="16"/>
              </w:rPr>
              <w:t xml:space="preserve"> when it was purchased by Procter &amp; Gamble.</w:t>
            </w:r>
          </w:p>
        </w:tc>
      </w:tr>
    </w:tbl>
    <w:p w14:paraId="3B50E0F5" w14:textId="77777777" w:rsidR="00CB7A57" w:rsidRDefault="003B1641">
      <w:r>
        <w:t>return to investors from 1995 through 2005, the 11 GTG firms ranked an average of 202nd, and produced returns less than one third of those produced by the top 10 ranking companies. Paired t-tests of the return performance of the 11 GTG firms to the S&amp;P 500</w:t>
      </w:r>
      <w:r>
        <w:t xml:space="preserve"> index also suggest that there is little difference between the 11 GTG firms and the average firm in the S&amp;P 500.</w:t>
      </w:r>
    </w:p>
    <w:p w14:paraId="28D2EEF9" w14:textId="77777777" w:rsidR="00CB7A57" w:rsidRDefault="003B1641">
      <w:pPr>
        <w:ind w:left="0" w:firstLine="280"/>
      </w:pPr>
      <w:r>
        <w:t xml:space="preserve">Our explanation for this is that the method used to select the great firms in GTG is a classic example of data mining. This error was further </w:t>
      </w:r>
      <w:r>
        <w:t>compounded by mistaking association for causation. Thus the management principles “discovered” in GTG do not appear to be “timeless and universal answers that can be applied by any organization” (p. 5). Rather, there is no evidence that they can be general</w:t>
      </w:r>
      <w:r>
        <w:t>ized to other firms or to other time periods, and the methodology and evidence in GTG do not justify claims that the five principles cause greatness. Although the 11 GTG firms are certainly good, we find no evidence that they are great.</w:t>
      </w:r>
    </w:p>
    <w:p w14:paraId="3F268360" w14:textId="77777777" w:rsidR="00CB7A57" w:rsidRDefault="003B1641">
      <w:pPr>
        <w:pStyle w:val="2"/>
        <w:spacing w:after="314"/>
        <w:ind w:left="-5"/>
      </w:pPr>
      <w:r>
        <w:t>References</w:t>
      </w:r>
    </w:p>
    <w:p w14:paraId="438AC733" w14:textId="77777777" w:rsidR="00CB7A57" w:rsidRDefault="003B1641">
      <w:pPr>
        <w:spacing w:after="4" w:line="244" w:lineRule="auto"/>
        <w:ind w:left="-15" w:firstLine="0"/>
      </w:pPr>
      <w:r>
        <w:rPr>
          <w:sz w:val="20"/>
        </w:rPr>
        <w:t>Collins,</w:t>
      </w:r>
      <w:r>
        <w:rPr>
          <w:sz w:val="20"/>
        </w:rPr>
        <w:t xml:space="preserve"> J. (2001). </w:t>
      </w:r>
      <w:r>
        <w:rPr>
          <w:i/>
          <w:sz w:val="20"/>
        </w:rPr>
        <w:t xml:space="preserve">Good to great. </w:t>
      </w:r>
      <w:r>
        <w:rPr>
          <w:sz w:val="20"/>
        </w:rPr>
        <w:t xml:space="preserve">New York: HarperCollins. Collins J., &amp; Porras, J. (1994). </w:t>
      </w:r>
      <w:r>
        <w:rPr>
          <w:i/>
          <w:sz w:val="20"/>
        </w:rPr>
        <w:t xml:space="preserve">Built to last. </w:t>
      </w:r>
      <w:r>
        <w:rPr>
          <w:sz w:val="20"/>
        </w:rPr>
        <w:t>New York: Harper Business.</w:t>
      </w:r>
    </w:p>
    <w:p w14:paraId="3E08DAC0" w14:textId="77777777" w:rsidR="00CB7A57" w:rsidRDefault="003B1641">
      <w:pPr>
        <w:spacing w:after="4" w:line="244" w:lineRule="auto"/>
        <w:ind w:left="275" w:hanging="290"/>
      </w:pPr>
      <w:r>
        <w:rPr>
          <w:sz w:val="20"/>
        </w:rPr>
        <w:t xml:space="preserve">Drucker, P. (1966). </w:t>
      </w:r>
      <w:r>
        <w:rPr>
          <w:i/>
          <w:sz w:val="20"/>
        </w:rPr>
        <w:t xml:space="preserve">The effective executive. </w:t>
      </w:r>
      <w:r>
        <w:rPr>
          <w:sz w:val="20"/>
        </w:rPr>
        <w:t>New York: Harper Collins.</w:t>
      </w:r>
    </w:p>
    <w:p w14:paraId="74BCCED0" w14:textId="77777777" w:rsidR="00CB7A57" w:rsidRDefault="003B1641">
      <w:pPr>
        <w:spacing w:after="4" w:line="244" w:lineRule="auto"/>
        <w:ind w:left="275" w:hanging="290"/>
      </w:pPr>
      <w:r>
        <w:rPr>
          <w:sz w:val="20"/>
        </w:rPr>
        <w:t xml:space="preserve">Hand, D. J. (1998). Data mining: Statistics and more? </w:t>
      </w:r>
      <w:r>
        <w:rPr>
          <w:i/>
          <w:sz w:val="20"/>
        </w:rPr>
        <w:t xml:space="preserve">The </w:t>
      </w:r>
      <w:r>
        <w:rPr>
          <w:i/>
          <w:sz w:val="20"/>
        </w:rPr>
        <w:t>American Statistician</w:t>
      </w:r>
      <w:r>
        <w:rPr>
          <w:sz w:val="20"/>
        </w:rPr>
        <w:t xml:space="preserve">, </w:t>
      </w:r>
      <w:r>
        <w:rPr>
          <w:i/>
          <w:sz w:val="20"/>
        </w:rPr>
        <w:t>52</w:t>
      </w:r>
      <w:r>
        <w:rPr>
          <w:sz w:val="20"/>
        </w:rPr>
        <w:t>, 112–119.</w:t>
      </w:r>
    </w:p>
    <w:p w14:paraId="0A570451" w14:textId="77777777" w:rsidR="00CB7A57" w:rsidRDefault="003B1641">
      <w:pPr>
        <w:spacing w:after="4" w:line="244" w:lineRule="auto"/>
        <w:ind w:left="275" w:hanging="290"/>
      </w:pPr>
      <w:r>
        <w:rPr>
          <w:sz w:val="20"/>
        </w:rPr>
        <w:t xml:space="preserve">Smith, A. (1776). </w:t>
      </w:r>
      <w:r>
        <w:rPr>
          <w:i/>
          <w:sz w:val="20"/>
        </w:rPr>
        <w:t xml:space="preserve">The wealth of nations. </w:t>
      </w:r>
      <w:r>
        <w:rPr>
          <w:sz w:val="20"/>
        </w:rPr>
        <w:t>London: Methuen and Co., Ltd.</w:t>
      </w:r>
    </w:p>
    <w:p w14:paraId="474D498D" w14:textId="77777777" w:rsidR="00CB7A57" w:rsidRDefault="003B1641">
      <w:pPr>
        <w:spacing w:after="4" w:line="244" w:lineRule="auto"/>
        <w:ind w:left="275" w:hanging="290"/>
      </w:pPr>
      <w:r>
        <w:rPr>
          <w:sz w:val="20"/>
        </w:rPr>
        <w:t xml:space="preserve">Walker, G. (2006). Good to great: Why some companies make the leap—and others don’t. [Review of the book </w:t>
      </w:r>
      <w:r>
        <w:rPr>
          <w:i/>
          <w:sz w:val="20"/>
        </w:rPr>
        <w:t>Good to great</w:t>
      </w:r>
      <w:r>
        <w:rPr>
          <w:sz w:val="20"/>
        </w:rPr>
        <w:t xml:space="preserve">]. </w:t>
      </w:r>
      <w:r>
        <w:rPr>
          <w:i/>
          <w:sz w:val="20"/>
        </w:rPr>
        <w:t>Academy of Management Perspe</w:t>
      </w:r>
      <w:r>
        <w:rPr>
          <w:i/>
          <w:sz w:val="20"/>
        </w:rPr>
        <w:t>ctives</w:t>
      </w:r>
      <w:r>
        <w:rPr>
          <w:sz w:val="20"/>
        </w:rPr>
        <w:t xml:space="preserve">, </w:t>
      </w:r>
      <w:r>
        <w:rPr>
          <w:i/>
          <w:sz w:val="20"/>
        </w:rPr>
        <w:t>20</w:t>
      </w:r>
      <w:r>
        <w:rPr>
          <w:sz w:val="20"/>
        </w:rPr>
        <w:t>(1), 120–122.</w:t>
      </w:r>
    </w:p>
    <w:sectPr w:rsidR="00CB7A57">
      <w:type w:val="continuous"/>
      <w:pgSz w:w="11880" w:h="15480"/>
      <w:pgMar w:top="1104" w:right="885" w:bottom="308" w:left="914" w:header="720" w:footer="720" w:gutter="0"/>
      <w:cols w:num="2" w: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0830" w14:textId="77777777" w:rsidR="003B1641" w:rsidRDefault="003B1641">
      <w:pPr>
        <w:spacing w:after="0" w:line="240" w:lineRule="auto"/>
      </w:pPr>
      <w:r>
        <w:separator/>
      </w:r>
    </w:p>
  </w:endnote>
  <w:endnote w:type="continuationSeparator" w:id="0">
    <w:p w14:paraId="2569411F" w14:textId="77777777" w:rsidR="003B1641" w:rsidRDefault="003B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4D76" w14:textId="77777777" w:rsidR="00CB7A57" w:rsidRDefault="003B1641">
    <w:pPr>
      <w:spacing w:after="0" w:line="259" w:lineRule="auto"/>
      <w:ind w:left="-1634" w:right="10275"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6E3AC086" wp14:editId="5EF8CF8F">
              <wp:simplePos x="0" y="0"/>
              <wp:positionH relativeFrom="page">
                <wp:posOffset>580085</wp:posOffset>
              </wp:positionH>
              <wp:positionV relativeFrom="page">
                <wp:posOffset>9371012</wp:posOffset>
              </wp:positionV>
              <wp:extent cx="6400801" cy="6350"/>
              <wp:effectExtent l="0" t="0" r="0" b="0"/>
              <wp:wrapSquare wrapText="bothSides"/>
              <wp:docPr id="17975" name="Group 17975"/>
              <wp:cNvGraphicFramePr/>
              <a:graphic xmlns:a="http://schemas.openxmlformats.org/drawingml/2006/main">
                <a:graphicData uri="http://schemas.microsoft.com/office/word/2010/wordprocessingGroup">
                  <wpg:wgp>
                    <wpg:cNvGrpSpPr/>
                    <wpg:grpSpPr>
                      <a:xfrm>
                        <a:off x="0" y="0"/>
                        <a:ext cx="6400801" cy="6350"/>
                        <a:chOff x="0" y="0"/>
                        <a:chExt cx="6400801" cy="6350"/>
                      </a:xfrm>
                    </wpg:grpSpPr>
                    <wps:wsp>
                      <wps:cNvPr id="17976" name="Shape 17976"/>
                      <wps:cNvSpPr/>
                      <wps:spPr>
                        <a:xfrm>
                          <a:off x="0" y="0"/>
                          <a:ext cx="6400801" cy="0"/>
                        </a:xfrm>
                        <a:custGeom>
                          <a:avLst/>
                          <a:gdLst/>
                          <a:ahLst/>
                          <a:cxnLst/>
                          <a:rect l="0" t="0" r="0" b="0"/>
                          <a:pathLst>
                            <a:path w="6400801">
                              <a:moveTo>
                                <a:pt x="0" y="0"/>
                              </a:moveTo>
                              <a:lnTo>
                                <a:pt x="64008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75" style="width:504pt;height:0.5pt;position:absolute;mso-position-horizontal-relative:page;mso-position-horizontal:absolute;margin-left:45.676pt;mso-position-vertical-relative:page;margin-top:737.875pt;" coordsize="64008,63">
              <v:shape id="Shape 17976" style="position:absolute;width:64008;height:0;left:0;top:0;" coordsize="6400801,0" path="m0,0l6400801,0">
                <v:stroke weight="0.5pt" endcap="flat" joinstyle="miter" miterlimit="10" on="true" color="#181717"/>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9FB3" w14:textId="77777777" w:rsidR="00CB7A57" w:rsidRDefault="003B1641">
    <w:pPr>
      <w:spacing w:after="0" w:line="259" w:lineRule="auto"/>
      <w:ind w:left="-1634" w:right="10275" w:firstLine="0"/>
      <w:jc w:val="lef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0A3F9CF6" wp14:editId="45752E15">
              <wp:simplePos x="0" y="0"/>
              <wp:positionH relativeFrom="page">
                <wp:posOffset>580085</wp:posOffset>
              </wp:positionH>
              <wp:positionV relativeFrom="page">
                <wp:posOffset>9371012</wp:posOffset>
              </wp:positionV>
              <wp:extent cx="6400801" cy="6350"/>
              <wp:effectExtent l="0" t="0" r="0" b="0"/>
              <wp:wrapSquare wrapText="bothSides"/>
              <wp:docPr id="17954" name="Group 17954"/>
              <wp:cNvGraphicFramePr/>
              <a:graphic xmlns:a="http://schemas.openxmlformats.org/drawingml/2006/main">
                <a:graphicData uri="http://schemas.microsoft.com/office/word/2010/wordprocessingGroup">
                  <wpg:wgp>
                    <wpg:cNvGrpSpPr/>
                    <wpg:grpSpPr>
                      <a:xfrm>
                        <a:off x="0" y="0"/>
                        <a:ext cx="6400801" cy="6350"/>
                        <a:chOff x="0" y="0"/>
                        <a:chExt cx="6400801" cy="6350"/>
                      </a:xfrm>
                    </wpg:grpSpPr>
                    <wps:wsp>
                      <wps:cNvPr id="17955" name="Shape 17955"/>
                      <wps:cNvSpPr/>
                      <wps:spPr>
                        <a:xfrm>
                          <a:off x="0" y="0"/>
                          <a:ext cx="6400801" cy="0"/>
                        </a:xfrm>
                        <a:custGeom>
                          <a:avLst/>
                          <a:gdLst/>
                          <a:ahLst/>
                          <a:cxnLst/>
                          <a:rect l="0" t="0" r="0" b="0"/>
                          <a:pathLst>
                            <a:path w="6400801">
                              <a:moveTo>
                                <a:pt x="0" y="0"/>
                              </a:moveTo>
                              <a:lnTo>
                                <a:pt x="64008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54" style="width:504pt;height:0.5pt;position:absolute;mso-position-horizontal-relative:page;mso-position-horizontal:absolute;margin-left:45.676pt;mso-position-vertical-relative:page;margin-top:737.875pt;" coordsize="64008,63">
              <v:shape id="Shape 17955" style="position:absolute;width:64008;height:0;left:0;top:0;" coordsize="6400801,0" path="m0,0l6400801,0">
                <v:stroke weight="0.5pt" endcap="flat" joinstyle="miter" miterlimit="10" on="true" color="#181717"/>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AAE8" w14:textId="77777777" w:rsidR="00CB7A57" w:rsidRDefault="00CB7A5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E044" w14:textId="77777777" w:rsidR="003B1641" w:rsidRDefault="003B1641">
      <w:pPr>
        <w:spacing w:after="0" w:line="283" w:lineRule="auto"/>
        <w:ind w:left="0" w:right="1" w:firstLine="280"/>
      </w:pPr>
      <w:r>
        <w:separator/>
      </w:r>
    </w:p>
  </w:footnote>
  <w:footnote w:type="continuationSeparator" w:id="0">
    <w:p w14:paraId="68B2CAC5" w14:textId="77777777" w:rsidR="003B1641" w:rsidRDefault="003B1641">
      <w:pPr>
        <w:spacing w:after="0" w:line="283" w:lineRule="auto"/>
        <w:ind w:left="0" w:right="1" w:firstLine="280"/>
      </w:pPr>
      <w:r>
        <w:continuationSeparator/>
      </w:r>
    </w:p>
  </w:footnote>
  <w:footnote w:id="1">
    <w:p w14:paraId="3FB26C68" w14:textId="77777777" w:rsidR="00CB7A57" w:rsidRDefault="003B1641">
      <w:pPr>
        <w:pStyle w:val="footnotedescription"/>
        <w:spacing w:line="283" w:lineRule="auto"/>
      </w:pPr>
      <w:r>
        <w:rPr>
          <w:rStyle w:val="footnotemark"/>
        </w:rPr>
        <w:footnoteRef/>
      </w:r>
      <w:r>
        <w:t xml:space="preserve"> </w:t>
      </w:r>
      <w:r>
        <w:t xml:space="preserve">This statement reflects the fact that the probability the professors were attempting to quantify is actually a conditional probability. The question could also be stated as “What are the odds that 11 selected firms share five attributes </w:t>
      </w:r>
      <w:r>
        <w:rPr>
          <w:i/>
        </w:rPr>
        <w:t xml:space="preserve">given </w:t>
      </w:r>
      <w:r>
        <w:t>that they hav</w:t>
      </w:r>
      <w:r>
        <w:t>e outstanding stock returns?”</w:t>
      </w:r>
    </w:p>
  </w:footnote>
  <w:footnote w:id="2">
    <w:p w14:paraId="3AF59AE9" w14:textId="77777777" w:rsidR="00CB7A57" w:rsidRDefault="003B1641">
      <w:pPr>
        <w:pStyle w:val="footnotedescription"/>
        <w:spacing w:line="316" w:lineRule="auto"/>
        <w:ind w:right="0"/>
        <w:jc w:val="left"/>
      </w:pPr>
      <w:r>
        <w:rPr>
          <w:rStyle w:val="footnotemark"/>
        </w:rPr>
        <w:footnoteRef/>
      </w:r>
      <w:r>
        <w:t xml:space="preserve"> Collins and his team also used long-term stock returns as a measure of performance in choosing the 11 firms.</w:t>
      </w:r>
    </w:p>
  </w:footnote>
  <w:footnote w:id="3">
    <w:p w14:paraId="7B44C145" w14:textId="77777777" w:rsidR="00CB7A57" w:rsidRDefault="003B1641">
      <w:pPr>
        <w:pStyle w:val="footnotedescription"/>
        <w:spacing w:line="268" w:lineRule="auto"/>
      </w:pPr>
      <w:r>
        <w:rPr>
          <w:rStyle w:val="footnotemark"/>
        </w:rPr>
        <w:footnoteRef/>
      </w:r>
      <w:r>
        <w:t xml:space="preserve"> </w:t>
      </w:r>
      <w:r>
        <w:t>We used the S&amp;P 500 index because there is not a consistently quoted return index calculated for the Fortune 500, which makes sense given the relatively frequent changes in the list. Many of the firms in the Fortune 500 in any given year are also in the S&amp;</w:t>
      </w:r>
      <w:r>
        <w:t>P 500. Also, as an anonymous reviewer pointed out, Collins did try to benchmark his firms against a set of companies in a matched pair analysis; unfortunately, inspection of the matched pairs shows that the matches were highly flawed.</w:t>
      </w:r>
    </w:p>
  </w:footnote>
  <w:footnote w:id="4">
    <w:p w14:paraId="17B77219" w14:textId="77777777" w:rsidR="00CB7A57" w:rsidRDefault="003B1641">
      <w:pPr>
        <w:pStyle w:val="footnotedescription"/>
        <w:spacing w:line="288" w:lineRule="auto"/>
      </w:pPr>
      <w:r>
        <w:rPr>
          <w:rStyle w:val="footnotemark"/>
        </w:rPr>
        <w:footnoteRef/>
      </w:r>
      <w:r>
        <w:t xml:space="preserve"> We also tested the </w:t>
      </w:r>
      <w:r>
        <w:t>20-year time period from 1986 through 2005. Despite strong bias toward rejecting the null due to a 10-year overlap with GTG’s time period, we failed to reject the null in six of the 11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5A5C" w14:textId="77777777" w:rsidR="00CB7A57" w:rsidRDefault="003B1641">
    <w:pPr>
      <w:tabs>
        <w:tab w:val="center" w:pos="4321"/>
        <w:tab w:val="right" w:pos="9360"/>
      </w:tabs>
      <w:spacing w:after="0" w:line="259" w:lineRule="auto"/>
      <w:ind w:left="-720" w:right="-719"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EB640A7" wp14:editId="20DB1366">
              <wp:simplePos x="0" y="0"/>
              <wp:positionH relativeFrom="page">
                <wp:posOffset>580085</wp:posOffset>
              </wp:positionH>
              <wp:positionV relativeFrom="page">
                <wp:posOffset>436563</wp:posOffset>
              </wp:positionV>
              <wp:extent cx="6400801" cy="6350"/>
              <wp:effectExtent l="0" t="0" r="0" b="0"/>
              <wp:wrapSquare wrapText="bothSides"/>
              <wp:docPr id="17968" name="Group 17968"/>
              <wp:cNvGraphicFramePr/>
              <a:graphic xmlns:a="http://schemas.openxmlformats.org/drawingml/2006/main">
                <a:graphicData uri="http://schemas.microsoft.com/office/word/2010/wordprocessingGroup">
                  <wpg:wgp>
                    <wpg:cNvGrpSpPr/>
                    <wpg:grpSpPr>
                      <a:xfrm>
                        <a:off x="0" y="0"/>
                        <a:ext cx="6400801" cy="6350"/>
                        <a:chOff x="0" y="0"/>
                        <a:chExt cx="6400801" cy="6350"/>
                      </a:xfrm>
                    </wpg:grpSpPr>
                    <wps:wsp>
                      <wps:cNvPr id="17969" name="Shape 17969"/>
                      <wps:cNvSpPr/>
                      <wps:spPr>
                        <a:xfrm>
                          <a:off x="0" y="0"/>
                          <a:ext cx="6400801" cy="0"/>
                        </a:xfrm>
                        <a:custGeom>
                          <a:avLst/>
                          <a:gdLst/>
                          <a:ahLst/>
                          <a:cxnLst/>
                          <a:rect l="0" t="0" r="0" b="0"/>
                          <a:pathLst>
                            <a:path w="6400801">
                              <a:moveTo>
                                <a:pt x="0" y="0"/>
                              </a:moveTo>
                              <a:lnTo>
                                <a:pt x="64008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68" style="width:504pt;height:0.5pt;position:absolute;mso-position-horizontal-relative:page;mso-position-horizontal:absolute;margin-left:45.676pt;mso-position-vertical-relative:page;margin-top:34.375pt;" coordsize="64008,63">
              <v:shape id="Shape 17969" style="position:absolute;width:64008;height:0;left:0;top:0;" coordsize="6400801,0" path="m0,0l6400801,0">
                <v:stroke weight="0.5pt" endcap="flat" joinstyle="miter" miterlimit="10" on="true" color="#181717"/>
                <v:fill on="false" color="#000000" opacity="0"/>
              </v:shape>
              <w10:wrap type="square"/>
            </v:group>
          </w:pict>
        </mc:Fallback>
      </mc:AlternateContent>
    </w:r>
    <w:r>
      <w:fldChar w:fldCharType="begin"/>
    </w:r>
    <w:r>
      <w:instrText xml:space="preserve"> PAGE</w:instrText>
    </w:r>
    <w:r>
      <w:instrText xml:space="preserve">   \* MERGEFORMAT </w:instrText>
    </w:r>
    <w:r>
      <w:fldChar w:fldCharType="separate"/>
    </w:r>
    <w:r>
      <w:rPr>
        <w:rFonts w:ascii="Calibri" w:eastAsia="Calibri" w:hAnsi="Calibri" w:cs="Calibri"/>
        <w:sz w:val="18"/>
      </w:rPr>
      <w:t>14</w:t>
    </w:r>
    <w:r>
      <w:rPr>
        <w:rFonts w:ascii="Calibri" w:eastAsia="Calibri" w:hAnsi="Calibri" w:cs="Calibri"/>
        <w:sz w:val="18"/>
      </w:rPr>
      <w:fldChar w:fldCharType="end"/>
    </w:r>
    <w:r>
      <w:rPr>
        <w:rFonts w:ascii="Calibri" w:eastAsia="Calibri" w:hAnsi="Calibri" w:cs="Calibri"/>
        <w:sz w:val="18"/>
      </w:rPr>
      <w:tab/>
      <w:t xml:space="preserve">Academy of Management </w:t>
    </w:r>
    <w:r>
      <w:rPr>
        <w:rFonts w:ascii="Calibri" w:eastAsia="Calibri" w:hAnsi="Calibri" w:cs="Calibri"/>
        <w:i/>
        <w:sz w:val="18"/>
      </w:rPr>
      <w:t>Perspectives</w:t>
    </w:r>
    <w:r>
      <w:rPr>
        <w:rFonts w:ascii="Calibri" w:eastAsia="Calibri" w:hAnsi="Calibri" w:cs="Calibri"/>
        <w:i/>
        <w:sz w:val="18"/>
      </w:rPr>
      <w:tab/>
    </w:r>
    <w:r>
      <w:rPr>
        <w:rFonts w:ascii="Calibri" w:eastAsia="Calibri" w:hAnsi="Calibri" w:cs="Calibri"/>
        <w:sz w:val="18"/>
      </w:rPr>
      <w:t>November</w:t>
    </w:r>
  </w:p>
  <w:p w14:paraId="16184455" w14:textId="77777777" w:rsidR="00CB7A57" w:rsidRDefault="003B1641">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0F83E389" wp14:editId="51BCAA14">
              <wp:simplePos x="0" y="0"/>
              <wp:positionH relativeFrom="page">
                <wp:posOffset>0</wp:posOffset>
              </wp:positionH>
              <wp:positionV relativeFrom="page">
                <wp:posOffset>0</wp:posOffset>
              </wp:positionV>
              <wp:extent cx="1" cy="1"/>
              <wp:effectExtent l="0" t="0" r="0" b="0"/>
              <wp:wrapNone/>
              <wp:docPr id="17970" name="Group 1797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797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F27D" w14:textId="77777777" w:rsidR="00CB7A57" w:rsidRDefault="003B1641">
    <w:pPr>
      <w:tabs>
        <w:tab w:val="center" w:pos="4320"/>
        <w:tab w:val="right" w:pos="9360"/>
      </w:tabs>
      <w:spacing w:after="0" w:line="259" w:lineRule="auto"/>
      <w:ind w:left="-720" w:right="-719"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4DD59AA8" wp14:editId="169AED42">
              <wp:simplePos x="0" y="0"/>
              <wp:positionH relativeFrom="page">
                <wp:posOffset>580085</wp:posOffset>
              </wp:positionH>
              <wp:positionV relativeFrom="page">
                <wp:posOffset>436563</wp:posOffset>
              </wp:positionV>
              <wp:extent cx="6400801" cy="6350"/>
              <wp:effectExtent l="0" t="0" r="0" b="0"/>
              <wp:wrapSquare wrapText="bothSides"/>
              <wp:docPr id="17947" name="Group 17947"/>
              <wp:cNvGraphicFramePr/>
              <a:graphic xmlns:a="http://schemas.openxmlformats.org/drawingml/2006/main">
                <a:graphicData uri="http://schemas.microsoft.com/office/word/2010/wordprocessingGroup">
                  <wpg:wgp>
                    <wpg:cNvGrpSpPr/>
                    <wpg:grpSpPr>
                      <a:xfrm>
                        <a:off x="0" y="0"/>
                        <a:ext cx="6400801" cy="6350"/>
                        <a:chOff x="0" y="0"/>
                        <a:chExt cx="6400801" cy="6350"/>
                      </a:xfrm>
                    </wpg:grpSpPr>
                    <wps:wsp>
                      <wps:cNvPr id="17948" name="Shape 17948"/>
                      <wps:cNvSpPr/>
                      <wps:spPr>
                        <a:xfrm>
                          <a:off x="0" y="0"/>
                          <a:ext cx="6400801" cy="0"/>
                        </a:xfrm>
                        <a:custGeom>
                          <a:avLst/>
                          <a:gdLst/>
                          <a:ahLst/>
                          <a:cxnLst/>
                          <a:rect l="0" t="0" r="0" b="0"/>
                          <a:pathLst>
                            <a:path w="6400801">
                              <a:moveTo>
                                <a:pt x="0" y="0"/>
                              </a:moveTo>
                              <a:lnTo>
                                <a:pt x="64008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47" style="width:504pt;height:0.5pt;position:absolute;mso-position-horizontal-relative:page;mso-position-horizontal:absolute;margin-left:45.676pt;mso-position-vertical-relative:page;margin-top:34.375pt;" coordsize="64008,63">
              <v:shape id="Shape 17948" style="position:absolute;width:64008;height:0;left:0;top:0;" coordsize="6400801,0" path="m0,0l6400801,0">
                <v:stroke weight="0.5pt" endcap="flat" joinstyle="miter" miterlimit="10" on="true" color="#181717"/>
                <v:fill on="false" color="#000000" opacity="0"/>
              </v:shape>
              <w10:wrap type="square"/>
            </v:group>
          </w:pict>
        </mc:Fallback>
      </mc:AlternateContent>
    </w:r>
    <w:r>
      <w:rPr>
        <w:rFonts w:ascii="Calibri" w:eastAsia="Calibri" w:hAnsi="Calibri" w:cs="Calibri"/>
        <w:sz w:val="18"/>
      </w:rPr>
      <w:t>2008</w:t>
    </w:r>
    <w:r>
      <w:rPr>
        <w:rFonts w:ascii="Calibri" w:eastAsia="Calibri" w:hAnsi="Calibri" w:cs="Calibri"/>
        <w:sz w:val="18"/>
      </w:rPr>
      <w:tab/>
      <w:t>Niendorf and Beck</w:t>
    </w:r>
    <w:r>
      <w:rPr>
        <w:rFonts w:ascii="Calibri" w:eastAsia="Calibri" w:hAnsi="Calibri" w:cs="Calibri"/>
        <w:sz w:val="18"/>
      </w:rPr>
      <w:tab/>
    </w:r>
    <w:r>
      <w:fldChar w:fldCharType="begin"/>
    </w:r>
    <w:r>
      <w:instrText xml:space="preserve"> PAGE   \* MERGEFORMAT </w:instrText>
    </w:r>
    <w:r>
      <w:fldChar w:fldCharType="separate"/>
    </w:r>
    <w:r>
      <w:rPr>
        <w:rFonts w:ascii="Calibri" w:eastAsia="Calibri" w:hAnsi="Calibri" w:cs="Calibri"/>
        <w:sz w:val="18"/>
      </w:rPr>
      <w:t>15</w:t>
    </w:r>
    <w:r>
      <w:rPr>
        <w:rFonts w:ascii="Calibri" w:eastAsia="Calibri" w:hAnsi="Calibri" w:cs="Calibri"/>
        <w:sz w:val="18"/>
      </w:rPr>
      <w:fldChar w:fldCharType="end"/>
    </w:r>
  </w:p>
  <w:p w14:paraId="068E6C85" w14:textId="77777777" w:rsidR="00CB7A57" w:rsidRDefault="003B1641">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508CC8BA" wp14:editId="43FD79E9">
              <wp:simplePos x="0" y="0"/>
              <wp:positionH relativeFrom="page">
                <wp:posOffset>0</wp:posOffset>
              </wp:positionH>
              <wp:positionV relativeFrom="page">
                <wp:posOffset>0</wp:posOffset>
              </wp:positionV>
              <wp:extent cx="1" cy="1"/>
              <wp:effectExtent l="0" t="0" r="0" b="0"/>
              <wp:wrapNone/>
              <wp:docPr id="17949" name="Group 1794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7949"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AEC2" w14:textId="77777777" w:rsidR="00CB7A57" w:rsidRDefault="003B1641">
    <w:pPr>
      <w:tabs>
        <w:tab w:val="center" w:pos="4320"/>
        <w:tab w:val="right" w:pos="9360"/>
      </w:tabs>
      <w:spacing w:after="0" w:line="259" w:lineRule="auto"/>
      <w:ind w:left="-720" w:right="-719"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3B75B59E" wp14:editId="2DC54E02">
              <wp:simplePos x="0" y="0"/>
              <wp:positionH relativeFrom="page">
                <wp:posOffset>580085</wp:posOffset>
              </wp:positionH>
              <wp:positionV relativeFrom="page">
                <wp:posOffset>436563</wp:posOffset>
              </wp:positionV>
              <wp:extent cx="6400801" cy="6350"/>
              <wp:effectExtent l="0" t="0" r="0" b="0"/>
              <wp:wrapSquare wrapText="bothSides"/>
              <wp:docPr id="17932" name="Group 17932"/>
              <wp:cNvGraphicFramePr/>
              <a:graphic xmlns:a="http://schemas.openxmlformats.org/drawingml/2006/main">
                <a:graphicData uri="http://schemas.microsoft.com/office/word/2010/wordprocessingGroup">
                  <wpg:wgp>
                    <wpg:cNvGrpSpPr/>
                    <wpg:grpSpPr>
                      <a:xfrm>
                        <a:off x="0" y="0"/>
                        <a:ext cx="6400801" cy="6350"/>
                        <a:chOff x="0" y="0"/>
                        <a:chExt cx="6400801" cy="6350"/>
                      </a:xfrm>
                    </wpg:grpSpPr>
                    <wps:wsp>
                      <wps:cNvPr id="17933" name="Shape 17933"/>
                      <wps:cNvSpPr/>
                      <wps:spPr>
                        <a:xfrm>
                          <a:off x="0" y="0"/>
                          <a:ext cx="6400801" cy="0"/>
                        </a:xfrm>
                        <a:custGeom>
                          <a:avLst/>
                          <a:gdLst/>
                          <a:ahLst/>
                          <a:cxnLst/>
                          <a:rect l="0" t="0" r="0" b="0"/>
                          <a:pathLst>
                            <a:path w="6400801">
                              <a:moveTo>
                                <a:pt x="0" y="0"/>
                              </a:moveTo>
                              <a:lnTo>
                                <a:pt x="64008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32" style="width:504pt;height:0.5pt;position:absolute;mso-position-horizontal-relative:page;mso-position-horizontal:absolute;margin-left:45.676pt;mso-position-vertical-relative:page;margin-top:34.375pt;" coordsize="64008,63">
              <v:shape id="Shape 17933" style="position:absolute;width:64008;height:0;left:0;top:0;" coordsize="6400801,0" path="m0,0l6400801,0">
                <v:stroke weight="0.5pt" endcap="flat" joinstyle="miter" miterlimit="10" on="true" color="#181717"/>
                <v:fill on="false" color="#000000" opacity="0"/>
              </v:shape>
              <w10:wrap type="square"/>
            </v:group>
          </w:pict>
        </mc:Fallback>
      </mc:AlternateContent>
    </w:r>
    <w:r>
      <w:rPr>
        <w:rFonts w:ascii="Calibri" w:eastAsia="Calibri" w:hAnsi="Calibri" w:cs="Calibri"/>
        <w:sz w:val="18"/>
      </w:rPr>
      <w:t>2008</w:t>
    </w:r>
    <w:r>
      <w:rPr>
        <w:rFonts w:ascii="Calibri" w:eastAsia="Calibri" w:hAnsi="Calibri" w:cs="Calibri"/>
        <w:sz w:val="18"/>
      </w:rPr>
      <w:tab/>
      <w:t>Niendorf and Beck</w:t>
    </w:r>
    <w:r>
      <w:rPr>
        <w:rFonts w:ascii="Calibri" w:eastAsia="Calibri" w:hAnsi="Calibri" w:cs="Calibri"/>
        <w:sz w:val="18"/>
      </w:rPr>
      <w:tab/>
    </w:r>
    <w:r>
      <w:fldChar w:fldCharType="begin"/>
    </w:r>
    <w:r>
      <w:instrText xml:space="preserve"> PAGE   \* MERGEFORMAT </w:instrText>
    </w:r>
    <w:r>
      <w:fldChar w:fldCharType="separate"/>
    </w:r>
    <w:r>
      <w:rPr>
        <w:rFonts w:ascii="Calibri" w:eastAsia="Calibri" w:hAnsi="Calibri" w:cs="Calibri"/>
        <w:sz w:val="18"/>
      </w:rPr>
      <w:t>13</w:t>
    </w:r>
    <w:r>
      <w:rPr>
        <w:rFonts w:ascii="Calibri" w:eastAsia="Calibri" w:hAnsi="Calibri" w:cs="Calibri"/>
        <w:sz w:val="18"/>
      </w:rPr>
      <w:fldChar w:fldCharType="end"/>
    </w:r>
  </w:p>
  <w:p w14:paraId="5DDCE8C5" w14:textId="77777777" w:rsidR="00CB7A57" w:rsidRDefault="003B1641">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14:anchorId="054E73E1" wp14:editId="2DC0275A">
              <wp:simplePos x="0" y="0"/>
              <wp:positionH relativeFrom="page">
                <wp:posOffset>580085</wp:posOffset>
              </wp:positionH>
              <wp:positionV relativeFrom="page">
                <wp:posOffset>9371012</wp:posOffset>
              </wp:positionV>
              <wp:extent cx="6400801" cy="6350"/>
              <wp:effectExtent l="0" t="0" r="0" b="0"/>
              <wp:wrapNone/>
              <wp:docPr id="17934" name="Group 17934"/>
              <wp:cNvGraphicFramePr/>
              <a:graphic xmlns:a="http://schemas.openxmlformats.org/drawingml/2006/main">
                <a:graphicData uri="http://schemas.microsoft.com/office/word/2010/wordprocessingGroup">
                  <wpg:wgp>
                    <wpg:cNvGrpSpPr/>
                    <wpg:grpSpPr>
                      <a:xfrm>
                        <a:off x="0" y="0"/>
                        <a:ext cx="6400801" cy="6350"/>
                        <a:chOff x="0" y="0"/>
                        <a:chExt cx="6400801" cy="6350"/>
                      </a:xfrm>
                    </wpg:grpSpPr>
                    <wps:wsp>
                      <wps:cNvPr id="17935" name="Shape 17935"/>
                      <wps:cNvSpPr/>
                      <wps:spPr>
                        <a:xfrm>
                          <a:off x="0" y="0"/>
                          <a:ext cx="6400801" cy="0"/>
                        </a:xfrm>
                        <a:custGeom>
                          <a:avLst/>
                          <a:gdLst/>
                          <a:ahLst/>
                          <a:cxnLst/>
                          <a:rect l="0" t="0" r="0" b="0"/>
                          <a:pathLst>
                            <a:path w="6400801">
                              <a:moveTo>
                                <a:pt x="0" y="0"/>
                              </a:moveTo>
                              <a:lnTo>
                                <a:pt x="64008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34" style="width:504pt;height:0.5pt;position:absolute;z-index:-2147483648;mso-position-horizontal-relative:page;mso-position-horizontal:absolute;margin-left:45.676pt;mso-position-vertical-relative:page;margin-top:737.875pt;" coordsize="64008,63">
              <v:shape id="Shape 17935" style="position:absolute;width:64008;height:0;left:0;top:0;" coordsize="6400801,0" path="m0,0l6400801,0">
                <v:stroke weight="0.5pt" endcap="flat" joinstyle="miter" miterlimit="10" on="true" color="#181717"/>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9C9"/>
    <w:multiLevelType w:val="hybridMultilevel"/>
    <w:tmpl w:val="7C4E23B2"/>
    <w:lvl w:ilvl="0" w:tplc="D41014FA">
      <w:start w:val="1"/>
      <w:numFmt w:val="lowerLetter"/>
      <w:lvlText w:val="(%1)"/>
      <w:lvlJc w:val="left"/>
      <w:pPr>
        <w:ind w:left="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BF61784">
      <w:start w:val="1"/>
      <w:numFmt w:val="lowerLetter"/>
      <w:lvlText w:val="%2"/>
      <w:lvlJc w:val="left"/>
      <w:pPr>
        <w:ind w:left="11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25490DA">
      <w:start w:val="1"/>
      <w:numFmt w:val="lowerRoman"/>
      <w:lvlText w:val="%3"/>
      <w:lvlJc w:val="left"/>
      <w:pPr>
        <w:ind w:left="18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0465854">
      <w:start w:val="1"/>
      <w:numFmt w:val="decimal"/>
      <w:lvlText w:val="%4"/>
      <w:lvlJc w:val="left"/>
      <w:pPr>
        <w:ind w:left="25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007879AC">
      <w:start w:val="1"/>
      <w:numFmt w:val="lowerLetter"/>
      <w:lvlText w:val="%5"/>
      <w:lvlJc w:val="left"/>
      <w:pPr>
        <w:ind w:left="32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36222DBC">
      <w:start w:val="1"/>
      <w:numFmt w:val="lowerRoman"/>
      <w:lvlText w:val="%6"/>
      <w:lvlJc w:val="left"/>
      <w:pPr>
        <w:ind w:left="40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A1CCCD0">
      <w:start w:val="1"/>
      <w:numFmt w:val="decimal"/>
      <w:lvlText w:val="%7"/>
      <w:lvlJc w:val="left"/>
      <w:pPr>
        <w:ind w:left="47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A860DCE">
      <w:start w:val="1"/>
      <w:numFmt w:val="lowerLetter"/>
      <w:lvlText w:val="%8"/>
      <w:lvlJc w:val="left"/>
      <w:pPr>
        <w:ind w:left="54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D4B6C910">
      <w:start w:val="1"/>
      <w:numFmt w:val="lowerRoman"/>
      <w:lvlText w:val="%9"/>
      <w:lvlJc w:val="left"/>
      <w:pPr>
        <w:ind w:left="61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57"/>
    <w:rsid w:val="003B1641"/>
    <w:rsid w:val="00B97BDB"/>
    <w:rsid w:val="00CB7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594A"/>
  <w15:docId w15:val="{E11F8C4F-F8C5-4CC8-93C8-9357C377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2" w:lineRule="auto"/>
      <w:ind w:left="10" w:hanging="10"/>
      <w:jc w:val="both"/>
    </w:pPr>
    <w:rPr>
      <w:rFonts w:ascii="Times New Roman" w:eastAsia="Times New Roman" w:hAnsi="Times New Roman" w:cs="Times New Roman"/>
      <w:color w:val="181717"/>
      <w:sz w:val="24"/>
    </w:rPr>
  </w:style>
  <w:style w:type="paragraph" w:styleId="1">
    <w:name w:val="heading 1"/>
    <w:next w:val="a"/>
    <w:link w:val="10"/>
    <w:uiPriority w:val="9"/>
    <w:qFormat/>
    <w:pPr>
      <w:keepNext/>
      <w:keepLines/>
      <w:spacing w:line="259" w:lineRule="auto"/>
      <w:outlineLvl w:val="0"/>
    </w:pPr>
    <w:rPr>
      <w:rFonts w:ascii="Calibri" w:eastAsia="Calibri" w:hAnsi="Calibri" w:cs="Calibri"/>
      <w:color w:val="181717"/>
      <w:sz w:val="28"/>
    </w:rPr>
  </w:style>
  <w:style w:type="paragraph" w:styleId="2">
    <w:name w:val="heading 2"/>
    <w:next w:val="a"/>
    <w:link w:val="20"/>
    <w:uiPriority w:val="9"/>
    <w:unhideWhenUsed/>
    <w:qFormat/>
    <w:pPr>
      <w:keepNext/>
      <w:keepLines/>
      <w:spacing w:after="73" w:line="259" w:lineRule="auto"/>
      <w:ind w:left="10" w:hanging="10"/>
      <w:outlineLvl w:val="1"/>
    </w:pPr>
    <w:rPr>
      <w:rFonts w:ascii="Calibri" w:eastAsia="Calibri" w:hAnsi="Calibri" w:cs="Calibri"/>
      <w:b/>
      <w:color w:val="181717"/>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Calibri" w:eastAsia="Calibri" w:hAnsi="Calibri" w:cs="Calibri"/>
      <w:b/>
      <w:color w:val="181717"/>
      <w:sz w:val="22"/>
    </w:rPr>
  </w:style>
  <w:style w:type="character" w:customStyle="1" w:styleId="10">
    <w:name w:val="标题 1 字符"/>
    <w:link w:val="1"/>
    <w:rPr>
      <w:rFonts w:ascii="Calibri" w:eastAsia="Calibri" w:hAnsi="Calibri" w:cs="Calibri"/>
      <w:color w:val="181717"/>
      <w:sz w:val="28"/>
    </w:rPr>
  </w:style>
  <w:style w:type="paragraph" w:customStyle="1" w:styleId="footnotedescription">
    <w:name w:val="footnote description"/>
    <w:next w:val="a"/>
    <w:link w:val="footnotedescriptionChar"/>
    <w:hidden/>
    <w:pPr>
      <w:spacing w:line="285" w:lineRule="auto"/>
      <w:ind w:right="1" w:firstLine="280"/>
      <w:jc w:val="both"/>
    </w:pPr>
    <w:rPr>
      <w:rFonts w:ascii="Times New Roman" w:eastAsia="Times New Roman" w:hAnsi="Times New Roman" w:cs="Times New Roman"/>
      <w:color w:val="181717"/>
      <w:sz w:val="16"/>
    </w:rPr>
  </w:style>
  <w:style w:type="character" w:customStyle="1" w:styleId="footnotedescriptionChar">
    <w:name w:val="footnote description Char"/>
    <w:link w:val="footnotedescription"/>
    <w:rPr>
      <w:rFonts w:ascii="Times New Roman" w:eastAsia="Times New Roman" w:hAnsi="Times New Roman" w:cs="Times New Roman"/>
      <w:color w:val="181717"/>
      <w:sz w:val="16"/>
    </w:rPr>
  </w:style>
  <w:style w:type="character" w:customStyle="1" w:styleId="footnotemark">
    <w:name w:val="footnote mark"/>
    <w:hidden/>
    <w:rPr>
      <w:rFonts w:ascii="Times New Roman" w:eastAsia="Times New Roman" w:hAnsi="Times New Roman" w:cs="Times New Roman"/>
      <w:color w:val="181717"/>
      <w:sz w:val="16"/>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3795</Words>
  <Characters>21638</Characters>
  <Application>Microsoft Office Word</Application>
  <DocSecurity>0</DocSecurity>
  <Lines>180</Lines>
  <Paragraphs>50</Paragraphs>
  <ScaleCrop>false</ScaleCrop>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Meoaw</dc:creator>
  <cp:keywords/>
  <cp:lastModifiedBy>Meoaw</cp:lastModifiedBy>
  <cp:revision>2</cp:revision>
  <dcterms:created xsi:type="dcterms:W3CDTF">2021-10-19T13:28:00Z</dcterms:created>
  <dcterms:modified xsi:type="dcterms:W3CDTF">2021-10-19T13:28:00Z</dcterms:modified>
</cp:coreProperties>
</file>